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935"/>
        <w:gridCol w:w="2205"/>
        <w:gridCol w:w="1088"/>
        <w:gridCol w:w="3053"/>
      </w:tblGrid>
      <w:tr w:rsidR="00DD2ACA" w:rsidTr="00DF70EE">
        <w:trPr>
          <w:cantSplit/>
          <w:trHeight w:val="426"/>
        </w:trPr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AA5C3F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>
              <w:rPr>
                <w:rFonts w:ascii="ＭＳ Ｐ明朝" w:eastAsia="ＭＳ Ｐ明朝" w:hAnsi="ＭＳ Ｐ明朝"/>
                <w:sz w:val="18"/>
              </w:rPr>
              <w:t>2</w:t>
            </w:r>
            <w:r w:rsidR="00656F2D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283242">
              <w:rPr>
                <w:rFonts w:ascii="ＭＳ Ｐ明朝" w:eastAsia="ＭＳ Ｐ明朝" w:hAnsi="ＭＳ Ｐ明朝" w:hint="eastAsia"/>
                <w:sz w:val="18"/>
              </w:rPr>
              <w:t>12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E96D1E">
              <w:rPr>
                <w:rFonts w:ascii="ＭＳ Ｐ明朝" w:eastAsia="ＭＳ Ｐ明朝" w:hAnsi="ＭＳ Ｐ明朝" w:hint="eastAsia"/>
                <w:sz w:val="18"/>
              </w:rPr>
              <w:t>作成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 w:rsidTr="00DF70EE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656F2D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283242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タフルプロスト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点眼液</w:t>
            </w:r>
            <w:r w:rsidR="00C24D88">
              <w:rPr>
                <w:rFonts w:ascii="MS UI Gothic" w:eastAsia="MS UI Gothic" w:hAnsi="MS UI Gothic" w:cstheme="majorHAnsi" w:hint="eastAsia"/>
                <w:sz w:val="24"/>
              </w:rPr>
              <w:t>0.0</w:t>
            </w:r>
            <w:r w:rsidR="000F5BA6">
              <w:rPr>
                <w:rFonts w:ascii="MS UI Gothic" w:eastAsia="MS UI Gothic" w:hAnsi="MS UI Gothic" w:cstheme="majorHAnsi"/>
                <w:sz w:val="24"/>
              </w:rPr>
              <w:t>0</w:t>
            </w:r>
            <w:r>
              <w:rPr>
                <w:rFonts w:ascii="MS UI Gothic" w:eastAsia="MS UI Gothic" w:hAnsi="MS UI Gothic" w:cstheme="majorHAnsi" w:hint="eastAsia"/>
                <w:sz w:val="24"/>
              </w:rPr>
              <w:t>1</w:t>
            </w:r>
            <w:r w:rsidR="00C24D88">
              <w:rPr>
                <w:rFonts w:ascii="MS UI Gothic" w:eastAsia="MS UI Gothic" w:hAnsi="MS UI Gothic" w:cstheme="majorHAnsi" w:hint="eastAsia"/>
                <w:sz w:val="24"/>
              </w:rPr>
              <w:t>5%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「TS」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C24D8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01F9D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（点眼剤</w:t>
            </w:r>
            <w:r w:rsidR="00C24D88" w:rsidRPr="00801F9D">
              <w:rPr>
                <w:rFonts w:ascii="ＭＳ Ｐ明朝" w:eastAsia="ＭＳ Ｐ明朝" w:hAnsi="ＭＳ Ｐ明朝" w:hint="eastAsia"/>
                <w:sz w:val="24"/>
              </w:rPr>
              <w:t>,</w:t>
            </w:r>
            <w:r w:rsidR="00C24D88" w:rsidRPr="00801F9D">
              <w:rPr>
                <w:rFonts w:ascii="ＭＳ Ｐ明朝" w:eastAsia="ＭＳ Ｐ明朝" w:hAnsi="ＭＳ Ｐ明朝"/>
                <w:sz w:val="24"/>
              </w:rPr>
              <w:t>0.0</w:t>
            </w:r>
            <w:r w:rsidR="00283242">
              <w:rPr>
                <w:rFonts w:ascii="ＭＳ Ｐ明朝" w:eastAsia="ＭＳ Ｐ明朝" w:hAnsi="ＭＳ Ｐ明朝" w:hint="eastAsia"/>
                <w:sz w:val="24"/>
              </w:rPr>
              <w:t>01</w:t>
            </w:r>
            <w:r w:rsidR="00C24D88" w:rsidRPr="00801F9D">
              <w:rPr>
                <w:rFonts w:ascii="ＭＳ Ｐ明朝" w:eastAsia="ＭＳ Ｐ明朝" w:hAnsi="ＭＳ Ｐ明朝"/>
                <w:sz w:val="24"/>
              </w:rPr>
              <w:t>5%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3E7264" w:rsidP="0028324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 xml:space="preserve">1mL　</w:t>
            </w:r>
            <w:r w:rsidR="00283242">
              <w:rPr>
                <w:rFonts w:ascii="ＭＳ Ｐ明朝" w:eastAsia="ＭＳ Ｐ明朝" w:hAnsi="ＭＳ Ｐ明朝" w:hint="eastAsia"/>
              </w:rPr>
              <w:t>308</w:t>
            </w:r>
            <w:r w:rsidRPr="00A543A7">
              <w:rPr>
                <w:rFonts w:ascii="ＭＳ Ｐ明朝" w:eastAsia="ＭＳ Ｐ明朝" w:hAnsi="ＭＳ Ｐ明朝" w:hint="eastAsia"/>
              </w:rPr>
              <w:t>.</w:t>
            </w:r>
            <w:r w:rsidR="00283242">
              <w:rPr>
                <w:rFonts w:ascii="ＭＳ Ｐ明朝" w:eastAsia="ＭＳ Ｐ明朝" w:hAnsi="ＭＳ Ｐ明朝" w:hint="eastAsia"/>
              </w:rPr>
              <w:t>0</w:t>
            </w:r>
            <w:r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40580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</w:t>
            </w:r>
            <w:r w:rsidRPr="00A543A7">
              <w:rPr>
                <w:rFonts w:ascii="ＭＳ Ｐ明朝" w:eastAsia="ＭＳ Ｐ明朝" w:hAnsi="ＭＳ Ｐ明朝"/>
              </w:rPr>
              <w:t xml:space="preserve">L　</w:t>
            </w:r>
            <w:r w:rsidR="0040580E">
              <w:rPr>
                <w:rFonts w:ascii="ＭＳ Ｐ明朝" w:eastAsia="ＭＳ Ｐ明朝" w:hAnsi="ＭＳ Ｐ明朝" w:hint="eastAsia"/>
              </w:rPr>
              <w:t>599</w:t>
            </w:r>
            <w:r w:rsidR="00C00AE2" w:rsidRPr="00A543A7">
              <w:rPr>
                <w:rFonts w:ascii="ＭＳ Ｐ明朝" w:eastAsia="ＭＳ Ｐ明朝" w:hAnsi="ＭＳ Ｐ明朝" w:hint="eastAsia"/>
              </w:rPr>
              <w:t>.</w:t>
            </w:r>
            <w:r w:rsidR="0040580E">
              <w:rPr>
                <w:rFonts w:ascii="ＭＳ Ｐ明朝" w:eastAsia="ＭＳ Ｐ明朝" w:hAnsi="ＭＳ Ｐ明朝" w:hint="eastAsia"/>
              </w:rPr>
              <w:t>0</w:t>
            </w:r>
            <w:r w:rsidR="001F4043"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DF70E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656F2D" w:rsidP="00656F2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0580E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タフルプロスト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B9794E" w:rsidP="0040580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</w:t>
            </w:r>
            <w:r w:rsidR="0040580E">
              <w:rPr>
                <w:rFonts w:ascii="ＭＳ Ｐ明朝" w:eastAsia="ＭＳ Ｐ明朝" w:hAnsi="ＭＳ Ｐ明朝" w:hint="eastAsia"/>
              </w:rPr>
              <w:t>中　タフルプロスト15μ</w:t>
            </w:r>
            <w:r w:rsidR="00C24D88">
              <w:rPr>
                <w:rFonts w:ascii="ＭＳ Ｐ明朝" w:eastAsia="ＭＳ Ｐ明朝" w:hAnsi="ＭＳ Ｐ明朝"/>
              </w:rPr>
              <w:t>g</w:t>
            </w:r>
          </w:p>
        </w:tc>
      </w:tr>
      <w:tr w:rsidR="00DD2ACA" w:rsidRPr="00364BAE" w:rsidTr="00A12433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40580E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緑内障、高眼圧症</w:t>
            </w:r>
          </w:p>
        </w:tc>
      </w:tr>
      <w:tr w:rsidR="00DD2ACA" w:rsidRPr="00364BAE" w:rsidTr="00A12433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40580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</w:t>
            </w:r>
            <w:r w:rsidR="0040580E">
              <w:rPr>
                <w:rFonts w:ascii="ＭＳ Ｐ明朝" w:eastAsia="ＭＳ Ｐ明朝" w:hAnsi="ＭＳ Ｐ明朝" w:hint="eastAsia"/>
              </w:rPr>
              <w:t>1</w:t>
            </w:r>
            <w:r w:rsidRPr="00364BAE">
              <w:rPr>
                <w:rFonts w:ascii="ＭＳ Ｐ明朝" w:eastAsia="ＭＳ Ｐ明朝" w:hAnsi="ＭＳ Ｐ明朝"/>
              </w:rPr>
              <w:t>回点眼する。</w:t>
            </w:r>
          </w:p>
        </w:tc>
      </w:tr>
      <w:tr w:rsidR="00A12433" w:rsidTr="00A12433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添加物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A1243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0580E" w:rsidRPr="00364BAE" w:rsidRDefault="0040580E" w:rsidP="0040580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ポリソルベート8</w:t>
            </w:r>
            <w:r>
              <w:rPr>
                <w:rFonts w:ascii="ＭＳ Ｐ明朝" w:eastAsia="ＭＳ Ｐ明朝" w:hAnsi="ＭＳ Ｐ明朝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40580E">
              <w:rPr>
                <w:rFonts w:ascii="ＭＳ Ｐ明朝" w:eastAsia="ＭＳ Ｐ明朝" w:hAnsi="ＭＳ Ｐ明朝" w:hint="eastAsia"/>
              </w:rPr>
              <w:t>リン酸二水素ナトリウム水和物、エデト酸ナトリウム水和物、濃グリセリン、ベンザルコニウム塩化物、pH</w:t>
            </w:r>
            <w:bookmarkStart w:id="0" w:name="_GoBack"/>
            <w:bookmarkEnd w:id="0"/>
            <w:r w:rsidRPr="0040580E">
              <w:rPr>
                <w:rFonts w:ascii="ＭＳ Ｐ明朝" w:eastAsia="ＭＳ Ｐ明朝" w:hAnsi="ＭＳ Ｐ明朝" w:hint="eastAsia"/>
              </w:rPr>
              <w:t>調節剤</w:t>
            </w:r>
          </w:p>
        </w:tc>
      </w:tr>
      <w:tr w:rsidR="00754024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40580E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C24D88">
              <w:rPr>
                <w:rFonts w:ascii="ＭＳ Ｐ明朝" w:eastAsia="ＭＳ Ｐ明朝" w:hAnsi="ＭＳ Ｐ明朝"/>
                <w:szCs w:val="20"/>
              </w:rPr>
              <w:t>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40580E">
              <w:rPr>
                <w:rFonts w:ascii="ＭＳ Ｐ明朝" w:eastAsia="ＭＳ Ｐ明朝" w:hAnsi="ＭＳ Ｐ明朝" w:hint="eastAsia"/>
                <w:szCs w:val="20"/>
              </w:rPr>
              <w:t>6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1.0</w:t>
            </w:r>
            <w:r>
              <w:rPr>
                <w:rFonts w:ascii="ＭＳ Ｐ明朝" w:eastAsia="ＭＳ Ｐ明朝" w:hAnsi="ＭＳ Ｐ明朝" w:hint="eastAsia"/>
                <w:szCs w:val="20"/>
              </w:rPr>
              <w:t>～1.</w:t>
            </w:r>
            <w:r w:rsidR="00C24D88">
              <w:rPr>
                <w:rFonts w:ascii="ＭＳ Ｐ明朝" w:eastAsia="ＭＳ Ｐ明朝" w:hAnsi="ＭＳ Ｐ明朝"/>
                <w:szCs w:val="20"/>
              </w:rPr>
              <w:t>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 w:rsidR="00143740">
              <w:rPr>
                <w:rFonts w:ascii="ＭＳ Ｐ明朝" w:eastAsia="ＭＳ Ｐ明朝" w:hAnsi="ＭＳ Ｐ明朝" w:hint="eastAsia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Cs w:val="20"/>
              </w:rPr>
              <w:t>無菌水性点眼剤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C24D88">
              <w:rPr>
                <w:rFonts w:ascii="ＭＳ Ｐ明朝" w:eastAsia="ＭＳ Ｐ明朝" w:hAnsi="ＭＳ Ｐ明朝"/>
                <w:szCs w:val="20"/>
              </w:rPr>
              <w:t>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6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1.0</w:t>
            </w:r>
            <w:r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1.1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>
              <w:rPr>
                <w:rFonts w:ascii="ＭＳ Ｐ明朝" w:eastAsia="ＭＳ Ｐ明朝" w:hAnsi="ＭＳ Ｐ明朝" w:hint="eastAsia"/>
                <w:szCs w:val="20"/>
              </w:rPr>
              <w:t>、無菌水性点眼剤</w:t>
            </w:r>
          </w:p>
        </w:tc>
      </w:tr>
      <w:tr w:rsidR="00A12433" w:rsidTr="00A12433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3F7A2D" w:rsidRPr="00364BAE" w:rsidRDefault="00335264" w:rsidP="00AD5102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タフルプロスト</w:t>
            </w:r>
            <w:r w:rsidR="00AD5102">
              <w:rPr>
                <w:rFonts w:ascii="ＭＳ Ｐ明朝" w:eastAsia="ＭＳ Ｐ明朝" w:hAnsi="ＭＳ Ｐ明朝" w:hint="eastAsia"/>
              </w:rPr>
              <w:t>点眼液</w:t>
            </w:r>
            <w:r w:rsidR="00E96D1E">
              <w:rPr>
                <w:rFonts w:ascii="ＭＳ Ｐ明朝" w:eastAsia="ＭＳ Ｐ明朝" w:hAnsi="ＭＳ Ｐ明朝" w:hint="eastAsia"/>
              </w:rPr>
              <w:t>0.0</w:t>
            </w:r>
            <w:r>
              <w:rPr>
                <w:rFonts w:ascii="ＭＳ Ｐ明朝" w:eastAsia="ＭＳ Ｐ明朝" w:hAnsi="ＭＳ Ｐ明朝" w:hint="eastAsia"/>
              </w:rPr>
              <w:t>01</w:t>
            </w:r>
            <w:r w:rsidR="00E96D1E">
              <w:rPr>
                <w:rFonts w:ascii="ＭＳ Ｐ明朝" w:eastAsia="ＭＳ Ｐ明朝" w:hAnsi="ＭＳ Ｐ明朝" w:hint="eastAsia"/>
              </w:rPr>
              <w:t>5%</w:t>
            </w:r>
            <w:r w:rsidR="003F7A2D">
              <w:rPr>
                <w:rFonts w:ascii="ＭＳ Ｐ明朝" w:eastAsia="ＭＳ Ｐ明朝" w:hAnsi="ＭＳ Ｐ明朝" w:hint="eastAsia"/>
              </w:rPr>
              <w:t>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002E49" w:rsidTr="00DF70EE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281" w:type="dxa"/>
            <w:gridSpan w:val="4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002E49" w:rsidRPr="00E47B0B" w:rsidRDefault="00002E49" w:rsidP="003F7A2D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002E49" w:rsidTr="00DF70EE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49" w:rsidRDefault="00002E49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A245E"/>
    <w:rsid w:val="000F112E"/>
    <w:rsid w:val="000F5BA6"/>
    <w:rsid w:val="00120712"/>
    <w:rsid w:val="00143740"/>
    <w:rsid w:val="001520FD"/>
    <w:rsid w:val="001F4043"/>
    <w:rsid w:val="002257F2"/>
    <w:rsid w:val="00283242"/>
    <w:rsid w:val="003146D7"/>
    <w:rsid w:val="003254E5"/>
    <w:rsid w:val="00334729"/>
    <w:rsid w:val="00335264"/>
    <w:rsid w:val="00364BAE"/>
    <w:rsid w:val="003935C5"/>
    <w:rsid w:val="00397287"/>
    <w:rsid w:val="003E7264"/>
    <w:rsid w:val="003F7A2D"/>
    <w:rsid w:val="0040580E"/>
    <w:rsid w:val="004315DB"/>
    <w:rsid w:val="00441B8A"/>
    <w:rsid w:val="004C1C32"/>
    <w:rsid w:val="00533909"/>
    <w:rsid w:val="005736A5"/>
    <w:rsid w:val="00584D49"/>
    <w:rsid w:val="00656F2D"/>
    <w:rsid w:val="00687D8D"/>
    <w:rsid w:val="006A7BA9"/>
    <w:rsid w:val="00710DE9"/>
    <w:rsid w:val="0071623F"/>
    <w:rsid w:val="00754024"/>
    <w:rsid w:val="007736BC"/>
    <w:rsid w:val="00784B0C"/>
    <w:rsid w:val="007A11DA"/>
    <w:rsid w:val="007C0CEF"/>
    <w:rsid w:val="00801F9D"/>
    <w:rsid w:val="00856913"/>
    <w:rsid w:val="008860C9"/>
    <w:rsid w:val="008B0622"/>
    <w:rsid w:val="00964EF8"/>
    <w:rsid w:val="009A113E"/>
    <w:rsid w:val="009D33D1"/>
    <w:rsid w:val="00A12433"/>
    <w:rsid w:val="00A322CB"/>
    <w:rsid w:val="00A43D69"/>
    <w:rsid w:val="00A512A5"/>
    <w:rsid w:val="00A543A7"/>
    <w:rsid w:val="00A77961"/>
    <w:rsid w:val="00AA5C3F"/>
    <w:rsid w:val="00AC3EB4"/>
    <w:rsid w:val="00AD5102"/>
    <w:rsid w:val="00AD7B9B"/>
    <w:rsid w:val="00B80F86"/>
    <w:rsid w:val="00B9794E"/>
    <w:rsid w:val="00BF0642"/>
    <w:rsid w:val="00C00AE2"/>
    <w:rsid w:val="00C24D88"/>
    <w:rsid w:val="00C46E7F"/>
    <w:rsid w:val="00CB1647"/>
    <w:rsid w:val="00CE5708"/>
    <w:rsid w:val="00D10499"/>
    <w:rsid w:val="00D15EF1"/>
    <w:rsid w:val="00D25B90"/>
    <w:rsid w:val="00D54423"/>
    <w:rsid w:val="00D61109"/>
    <w:rsid w:val="00D862B8"/>
    <w:rsid w:val="00DB7452"/>
    <w:rsid w:val="00DD2ACA"/>
    <w:rsid w:val="00DE4214"/>
    <w:rsid w:val="00DF70EE"/>
    <w:rsid w:val="00E47B0B"/>
    <w:rsid w:val="00E5417B"/>
    <w:rsid w:val="00E822CE"/>
    <w:rsid w:val="00E96D1E"/>
    <w:rsid w:val="00EA0F89"/>
    <w:rsid w:val="00F47B3E"/>
    <w:rsid w:val="00F91827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A857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2F73-D49E-493B-84C4-46B2FDDB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布施 敏志</cp:lastModifiedBy>
  <cp:revision>16</cp:revision>
  <cp:lastPrinted>2014-01-31T00:43:00Z</cp:lastPrinted>
  <dcterms:created xsi:type="dcterms:W3CDTF">2021-04-13T05:02:00Z</dcterms:created>
  <dcterms:modified xsi:type="dcterms:W3CDTF">2024-12-06T04:28:00Z</dcterms:modified>
</cp:coreProperties>
</file>