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1845"/>
        <w:gridCol w:w="2291"/>
        <w:gridCol w:w="1016"/>
        <w:gridCol w:w="3310"/>
      </w:tblGrid>
      <w:tr w:rsidR="0022655D" w:rsidRPr="003734C5" w:rsidTr="00764916">
        <w:trPr>
          <w:cantSplit/>
          <w:trHeight w:val="71"/>
        </w:trPr>
        <w:tc>
          <w:tcPr>
            <w:tcW w:w="3306" w:type="dxa"/>
            <w:gridSpan w:val="2"/>
            <w:tcBorders>
              <w:top w:val="nil"/>
              <w:left w:val="nil"/>
              <w:bottom w:val="single" w:sz="12" w:space="0" w:color="auto"/>
              <w:right w:val="nil"/>
            </w:tcBorders>
            <w:vAlign w:val="center"/>
          </w:tcPr>
          <w:p w:rsidR="0022655D" w:rsidRDefault="0022655D" w:rsidP="00CE0D8E">
            <w:pPr>
              <w:jc w:val="center"/>
              <w:rPr>
                <w:rFonts w:ascii="MS UI Gothic" w:eastAsia="MS UI Gothic" w:hAnsi="ＭＳ ゴシック"/>
              </w:rPr>
            </w:pPr>
          </w:p>
        </w:tc>
        <w:tc>
          <w:tcPr>
            <w:tcW w:w="3307" w:type="dxa"/>
            <w:gridSpan w:val="2"/>
            <w:tcBorders>
              <w:top w:val="nil"/>
              <w:left w:val="nil"/>
              <w:bottom w:val="single" w:sz="12" w:space="0" w:color="auto"/>
              <w:right w:val="nil"/>
            </w:tcBorders>
          </w:tcPr>
          <w:p w:rsidR="0022655D" w:rsidRDefault="0022655D" w:rsidP="00D13E58">
            <w:pPr>
              <w:ind w:hanging="3"/>
              <w:jc w:val="center"/>
              <w:rPr>
                <w:rFonts w:ascii="MS UI Gothic" w:eastAsia="MS UI Gothic" w:hAnsi="ＭＳ ゴシック"/>
              </w:rPr>
            </w:pPr>
            <w:r>
              <w:rPr>
                <w:rFonts w:eastAsia="MS UI Gothic" w:hint="eastAsia"/>
                <w:b/>
                <w:bCs/>
                <w:sz w:val="32"/>
              </w:rPr>
              <w:t>製品比較表</w:t>
            </w:r>
          </w:p>
        </w:tc>
        <w:tc>
          <w:tcPr>
            <w:tcW w:w="3310" w:type="dxa"/>
            <w:tcBorders>
              <w:top w:val="nil"/>
              <w:left w:val="nil"/>
              <w:bottom w:val="single" w:sz="12" w:space="0" w:color="auto"/>
              <w:right w:val="nil"/>
            </w:tcBorders>
            <w:vAlign w:val="bottom"/>
          </w:tcPr>
          <w:p w:rsidR="0022655D" w:rsidRPr="00D13E58" w:rsidRDefault="0022655D" w:rsidP="00F906BA">
            <w:pPr>
              <w:jc w:val="right"/>
              <w:rPr>
                <w:rFonts w:ascii="ＭＳ Ｐ明朝" w:eastAsia="ＭＳ Ｐ明朝" w:hAnsi="ＭＳ Ｐ明朝"/>
                <w:sz w:val="18"/>
              </w:rPr>
            </w:pPr>
            <w:r w:rsidRPr="007D1159">
              <w:rPr>
                <w:rFonts w:ascii="ＭＳ Ｐ明朝" w:eastAsia="ＭＳ Ｐ明朝" w:hAnsi="ＭＳ Ｐ明朝"/>
                <w:sz w:val="18"/>
              </w:rPr>
              <w:t>20</w:t>
            </w:r>
            <w:r w:rsidR="00C95586" w:rsidRPr="007D1159">
              <w:rPr>
                <w:rFonts w:ascii="ＭＳ Ｐ明朝" w:eastAsia="ＭＳ Ｐ明朝" w:hAnsi="ＭＳ Ｐ明朝" w:hint="eastAsia"/>
                <w:sz w:val="18"/>
              </w:rPr>
              <w:t>2</w:t>
            </w:r>
            <w:r w:rsidR="00F906BA" w:rsidRPr="007D1159">
              <w:rPr>
                <w:rFonts w:ascii="ＭＳ Ｐ明朝" w:eastAsia="ＭＳ Ｐ明朝" w:hAnsi="ＭＳ Ｐ明朝" w:hint="eastAsia"/>
                <w:sz w:val="18"/>
              </w:rPr>
              <w:t>3</w:t>
            </w:r>
            <w:r w:rsidRPr="00CC4739">
              <w:rPr>
                <w:rFonts w:ascii="ＭＳ Ｐ明朝" w:eastAsia="ＭＳ Ｐ明朝" w:hAnsi="ＭＳ Ｐ明朝"/>
                <w:color w:val="000000" w:themeColor="text1"/>
                <w:sz w:val="18"/>
              </w:rPr>
              <w:t>年</w:t>
            </w:r>
            <w:r w:rsidR="00914B83">
              <w:rPr>
                <w:rFonts w:ascii="ＭＳ Ｐ明朝" w:eastAsia="ＭＳ Ｐ明朝" w:hAnsi="ＭＳ Ｐ明朝" w:hint="eastAsia"/>
                <w:color w:val="000000" w:themeColor="text1"/>
                <w:sz w:val="18"/>
              </w:rPr>
              <w:t>4</w:t>
            </w:r>
            <w:r w:rsidRPr="00D13E58">
              <w:rPr>
                <w:rFonts w:ascii="ＭＳ Ｐ明朝" w:eastAsia="ＭＳ Ｐ明朝" w:hAnsi="ＭＳ Ｐ明朝"/>
                <w:sz w:val="18"/>
              </w:rPr>
              <w:t>月</w:t>
            </w:r>
            <w:r w:rsidR="00753D1B">
              <w:rPr>
                <w:rFonts w:ascii="ＭＳ Ｐ明朝" w:eastAsia="ＭＳ Ｐ明朝" w:hAnsi="ＭＳ Ｐ明朝" w:hint="eastAsia"/>
                <w:sz w:val="18"/>
              </w:rPr>
              <w:t>改訂</w:t>
            </w:r>
          </w:p>
        </w:tc>
      </w:tr>
      <w:tr w:rsidR="0022655D" w:rsidTr="00764916">
        <w:trPr>
          <w:cantSplit/>
          <w:trHeight w:val="397"/>
        </w:trPr>
        <w:tc>
          <w:tcPr>
            <w:tcW w:w="1461" w:type="dxa"/>
            <w:tcBorders>
              <w:top w:val="single" w:sz="12" w:space="0" w:color="auto"/>
              <w:left w:val="single" w:sz="12" w:space="0" w:color="auto"/>
              <w:bottom w:val="double" w:sz="4" w:space="0" w:color="auto"/>
              <w:right w:val="double" w:sz="4" w:space="0" w:color="auto"/>
            </w:tcBorders>
          </w:tcPr>
          <w:p w:rsidR="0022655D" w:rsidRDefault="0022655D">
            <w:pPr>
              <w:pStyle w:val="a3"/>
              <w:tabs>
                <w:tab w:val="clear" w:pos="4252"/>
                <w:tab w:val="clear" w:pos="8504"/>
              </w:tabs>
              <w:snapToGrid/>
              <w:rPr>
                <w:rFonts w:ascii="MS UI Gothic" w:eastAsia="MS UI Gothic" w:hAnsi="MS UI Gothic"/>
              </w:rPr>
            </w:pPr>
          </w:p>
        </w:tc>
        <w:tc>
          <w:tcPr>
            <w:tcW w:w="4136" w:type="dxa"/>
            <w:gridSpan w:val="2"/>
            <w:tcBorders>
              <w:top w:val="single" w:sz="12" w:space="0" w:color="auto"/>
              <w:left w:val="double" w:sz="4" w:space="0" w:color="auto"/>
              <w:bottom w:val="double" w:sz="4" w:space="0" w:color="auto"/>
            </w:tcBorders>
            <w:vAlign w:val="center"/>
          </w:tcPr>
          <w:p w:rsidR="0022655D" w:rsidRDefault="0022655D">
            <w:pPr>
              <w:jc w:val="center"/>
              <w:rPr>
                <w:rFonts w:ascii="MS UI Gothic" w:eastAsia="MS UI Gothic" w:hAnsi="ＭＳ ゴシック"/>
              </w:rPr>
            </w:pPr>
            <w:r>
              <w:rPr>
                <w:rFonts w:ascii="MS UI Gothic" w:eastAsia="MS UI Gothic" w:hAnsi="ＭＳ ゴシック" w:hint="eastAsia"/>
              </w:rPr>
              <w:t>後発</w:t>
            </w:r>
            <w:r w:rsidR="00E64289">
              <w:rPr>
                <w:rFonts w:ascii="MS UI Gothic" w:eastAsia="MS UI Gothic" w:hAnsi="ＭＳ ゴシック" w:hint="eastAsia"/>
              </w:rPr>
              <w:t>医薬</w:t>
            </w:r>
            <w:r>
              <w:rPr>
                <w:rFonts w:ascii="MS UI Gothic" w:eastAsia="MS UI Gothic" w:hAnsi="ＭＳ ゴシック" w:hint="eastAsia"/>
              </w:rPr>
              <w:t>品</w:t>
            </w:r>
          </w:p>
        </w:tc>
        <w:tc>
          <w:tcPr>
            <w:tcW w:w="4326" w:type="dxa"/>
            <w:gridSpan w:val="2"/>
            <w:tcBorders>
              <w:top w:val="single" w:sz="12" w:space="0" w:color="auto"/>
              <w:bottom w:val="double" w:sz="4" w:space="0" w:color="auto"/>
              <w:right w:val="single" w:sz="12" w:space="0" w:color="auto"/>
            </w:tcBorders>
            <w:vAlign w:val="center"/>
          </w:tcPr>
          <w:p w:rsidR="0022655D" w:rsidRDefault="0022655D" w:rsidP="00F17C5A">
            <w:pPr>
              <w:jc w:val="center"/>
              <w:rPr>
                <w:rFonts w:ascii="MS UI Gothic" w:eastAsia="MS UI Gothic" w:hAnsi="ＭＳ ゴシック"/>
              </w:rPr>
            </w:pPr>
            <w:r>
              <w:rPr>
                <w:rFonts w:ascii="MS UI Gothic" w:eastAsia="MS UI Gothic" w:hAnsi="ＭＳ ゴシック" w:hint="eastAsia"/>
              </w:rPr>
              <w:t>標準</w:t>
            </w:r>
            <w:r w:rsidR="00F17C5A">
              <w:rPr>
                <w:rFonts w:ascii="MS UI Gothic" w:eastAsia="MS UI Gothic" w:hAnsi="ＭＳ ゴシック" w:hint="eastAsia"/>
              </w:rPr>
              <w:t>製剤</w:t>
            </w:r>
          </w:p>
        </w:tc>
      </w:tr>
      <w:tr w:rsidR="0022655D" w:rsidRPr="00EF535F" w:rsidTr="00764916">
        <w:trPr>
          <w:cantSplit/>
          <w:trHeight w:val="101"/>
        </w:trPr>
        <w:tc>
          <w:tcPr>
            <w:tcW w:w="1461" w:type="dxa"/>
            <w:tcBorders>
              <w:top w:val="double" w:sz="4" w:space="0" w:color="auto"/>
              <w:left w:val="single" w:sz="12" w:space="0" w:color="auto"/>
              <w:right w:val="double" w:sz="4" w:space="0" w:color="auto"/>
            </w:tcBorders>
            <w:vAlign w:val="center"/>
          </w:tcPr>
          <w:p w:rsidR="0022655D" w:rsidRDefault="0022655D">
            <w:pPr>
              <w:spacing w:line="360" w:lineRule="auto"/>
              <w:jc w:val="center"/>
              <w:rPr>
                <w:rFonts w:ascii="MS UI Gothic" w:eastAsia="MS UI Gothic" w:hAnsi="MS UI Gothic"/>
              </w:rPr>
            </w:pPr>
            <w:r>
              <w:rPr>
                <w:rFonts w:ascii="MS UI Gothic" w:eastAsia="MS UI Gothic" w:hAnsi="MS UI Gothic" w:hint="eastAsia"/>
              </w:rPr>
              <w:t>商品名</w:t>
            </w:r>
          </w:p>
        </w:tc>
        <w:tc>
          <w:tcPr>
            <w:tcW w:w="4136" w:type="dxa"/>
            <w:gridSpan w:val="2"/>
            <w:tcBorders>
              <w:top w:val="double" w:sz="4" w:space="0" w:color="auto"/>
              <w:left w:val="double" w:sz="4" w:space="0" w:color="auto"/>
            </w:tcBorders>
          </w:tcPr>
          <w:p w:rsidR="0022655D" w:rsidRPr="007E2E5A" w:rsidRDefault="00B02DE1" w:rsidP="00B02DE1">
            <w:pPr>
              <w:spacing w:line="360" w:lineRule="auto"/>
              <w:jc w:val="center"/>
              <w:rPr>
                <w:rFonts w:asciiTheme="majorHAnsi" w:eastAsia="MS UI Gothic" w:hAnsiTheme="majorHAnsi" w:cstheme="majorHAnsi"/>
                <w:sz w:val="24"/>
              </w:rPr>
            </w:pPr>
            <w:r>
              <w:rPr>
                <w:rFonts w:asciiTheme="majorHAnsi" w:eastAsia="MS UI Gothic" w:hAnsi="MS UI Gothic" w:cstheme="majorHAnsi" w:hint="eastAsia"/>
                <w:sz w:val="24"/>
              </w:rPr>
              <w:t>ピタバスタチンカルシウム</w:t>
            </w:r>
            <w:r w:rsidR="00B824CB">
              <w:rPr>
                <w:rFonts w:asciiTheme="majorHAnsi" w:eastAsia="MS UI Gothic" w:hAnsi="MS UI Gothic" w:cstheme="majorHAnsi" w:hint="eastAsia"/>
                <w:sz w:val="24"/>
              </w:rPr>
              <w:t>OD</w:t>
            </w:r>
            <w:r>
              <w:rPr>
                <w:rFonts w:asciiTheme="majorHAnsi" w:eastAsia="MS UI Gothic" w:hAnsi="MS UI Gothic" w:cstheme="majorHAnsi" w:hint="eastAsia"/>
                <w:sz w:val="24"/>
              </w:rPr>
              <w:t>錠</w:t>
            </w:r>
            <w:r>
              <w:rPr>
                <w:rFonts w:asciiTheme="majorHAnsi" w:eastAsia="MS UI Gothic" w:hAnsi="MS UI Gothic" w:cstheme="majorHAnsi" w:hint="eastAsia"/>
                <w:sz w:val="24"/>
              </w:rPr>
              <w:t>1mg</w:t>
            </w:r>
            <w:r w:rsidR="00CF3C87" w:rsidRPr="007E2E5A">
              <w:rPr>
                <w:rFonts w:asciiTheme="majorHAnsi" w:eastAsia="MS UI Gothic" w:hAnsi="MS UI Gothic" w:cstheme="majorHAnsi"/>
                <w:sz w:val="24"/>
              </w:rPr>
              <w:t>「</w:t>
            </w:r>
            <w:r>
              <w:rPr>
                <w:rFonts w:asciiTheme="majorHAnsi" w:eastAsia="MS UI Gothic" w:hAnsiTheme="majorHAnsi" w:cstheme="majorHAnsi"/>
                <w:sz w:val="24"/>
              </w:rPr>
              <w:t>KOG</w:t>
            </w:r>
            <w:r w:rsidR="00CF3C87" w:rsidRPr="007E2E5A">
              <w:rPr>
                <w:rFonts w:asciiTheme="majorHAnsi" w:eastAsia="MS UI Gothic" w:hAnsi="MS UI Gothic" w:cstheme="majorHAnsi"/>
                <w:sz w:val="24"/>
              </w:rPr>
              <w:t>」</w:t>
            </w:r>
          </w:p>
        </w:tc>
        <w:tc>
          <w:tcPr>
            <w:tcW w:w="4326" w:type="dxa"/>
            <w:gridSpan w:val="2"/>
            <w:tcBorders>
              <w:top w:val="double" w:sz="4" w:space="0" w:color="auto"/>
              <w:right w:val="single" w:sz="12" w:space="0" w:color="auto"/>
            </w:tcBorders>
            <w:vAlign w:val="center"/>
          </w:tcPr>
          <w:p w:rsidR="0022655D" w:rsidRPr="00F648E9" w:rsidRDefault="0022655D" w:rsidP="00B02DE1">
            <w:pPr>
              <w:pStyle w:val="a3"/>
              <w:tabs>
                <w:tab w:val="clear" w:pos="4252"/>
                <w:tab w:val="clear" w:pos="8504"/>
              </w:tabs>
              <w:jc w:val="center"/>
              <w:rPr>
                <w:rFonts w:ascii="ＭＳ Ｐ明朝" w:eastAsia="ＭＳ Ｐ明朝" w:hAnsi="ＭＳ Ｐ明朝"/>
              </w:rPr>
            </w:pPr>
            <w:r w:rsidRPr="00C314E4">
              <w:rPr>
                <w:rFonts w:ascii="ＭＳ Ｐ明朝" w:eastAsia="ＭＳ Ｐ明朝" w:hAnsi="ＭＳ Ｐ明朝"/>
                <w:sz w:val="24"/>
              </w:rPr>
              <w:t>標準</w:t>
            </w:r>
            <w:r w:rsidR="00F17C5A" w:rsidRPr="00C314E4">
              <w:rPr>
                <w:rFonts w:ascii="ＭＳ Ｐ明朝" w:eastAsia="ＭＳ Ｐ明朝" w:hAnsi="ＭＳ Ｐ明朝" w:hint="eastAsia"/>
                <w:sz w:val="24"/>
              </w:rPr>
              <w:t>製剤</w:t>
            </w:r>
          </w:p>
        </w:tc>
      </w:tr>
      <w:tr w:rsidR="0022655D" w:rsidRPr="00F648E9" w:rsidTr="00764916">
        <w:trPr>
          <w:cantSplit/>
          <w:trHeight w:val="115"/>
        </w:trPr>
        <w:tc>
          <w:tcPr>
            <w:tcW w:w="1461" w:type="dxa"/>
            <w:tcBorders>
              <w:left w:val="single" w:sz="12" w:space="0" w:color="auto"/>
              <w:right w:val="double" w:sz="4" w:space="0" w:color="auto"/>
            </w:tcBorders>
            <w:vAlign w:val="center"/>
          </w:tcPr>
          <w:p w:rsidR="0022655D" w:rsidRDefault="00767BBE" w:rsidP="00767BBE">
            <w:pPr>
              <w:pStyle w:val="a3"/>
              <w:widowControl/>
              <w:tabs>
                <w:tab w:val="clear" w:pos="4252"/>
                <w:tab w:val="clear" w:pos="8504"/>
              </w:tabs>
              <w:rPr>
                <w:rFonts w:ascii="MS UI Gothic" w:eastAsia="MS UI Gothic" w:hAnsi="MS UI Gothic"/>
              </w:rPr>
            </w:pPr>
            <w:r>
              <w:rPr>
                <w:rFonts w:ascii="MS UI Gothic" w:eastAsia="MS UI Gothic" w:hAnsi="MS UI Gothic" w:hint="eastAsia"/>
              </w:rPr>
              <w:t>製造販売元</w:t>
            </w:r>
          </w:p>
        </w:tc>
        <w:tc>
          <w:tcPr>
            <w:tcW w:w="4136" w:type="dxa"/>
            <w:gridSpan w:val="2"/>
            <w:tcBorders>
              <w:left w:val="double" w:sz="4" w:space="0" w:color="auto"/>
              <w:bottom w:val="single" w:sz="4" w:space="0" w:color="auto"/>
            </w:tcBorders>
            <w:vAlign w:val="center"/>
          </w:tcPr>
          <w:p w:rsidR="0022655D" w:rsidRPr="00484EDE" w:rsidRDefault="002E10C0" w:rsidP="00F648E9">
            <w:pPr>
              <w:pStyle w:val="a3"/>
              <w:widowControl/>
              <w:tabs>
                <w:tab w:val="clear" w:pos="4252"/>
                <w:tab w:val="clear" w:pos="8504"/>
              </w:tabs>
              <w:jc w:val="center"/>
              <w:rPr>
                <w:rFonts w:ascii="MS UI Gothic" w:eastAsia="MS UI Gothic" w:hAnsi="MS UI Gothic"/>
              </w:rPr>
            </w:pPr>
            <w:r w:rsidRPr="00484EDE">
              <w:rPr>
                <w:rFonts w:ascii="MS UI Gothic" w:eastAsia="MS UI Gothic" w:hAnsi="MS UI Gothic" w:hint="eastAsia"/>
              </w:rPr>
              <w:t>テイカ製薬株式会社</w:t>
            </w:r>
          </w:p>
        </w:tc>
        <w:tc>
          <w:tcPr>
            <w:tcW w:w="4326" w:type="dxa"/>
            <w:gridSpan w:val="2"/>
            <w:tcBorders>
              <w:right w:val="single" w:sz="12" w:space="0" w:color="auto"/>
            </w:tcBorders>
            <w:vAlign w:val="center"/>
          </w:tcPr>
          <w:p w:rsidR="0022655D" w:rsidRPr="00F648E9" w:rsidRDefault="0022655D" w:rsidP="00F648E9">
            <w:pPr>
              <w:pStyle w:val="a3"/>
              <w:widowControl/>
              <w:tabs>
                <w:tab w:val="clear" w:pos="4252"/>
                <w:tab w:val="clear" w:pos="8504"/>
              </w:tabs>
              <w:jc w:val="center"/>
              <w:rPr>
                <w:rFonts w:ascii="ＭＳ Ｐ明朝" w:eastAsia="ＭＳ Ｐ明朝" w:hAnsi="ＭＳ Ｐ明朝"/>
              </w:rPr>
            </w:pPr>
          </w:p>
        </w:tc>
      </w:tr>
      <w:tr w:rsidR="0010785C" w:rsidRPr="00F648E9" w:rsidTr="00764916">
        <w:trPr>
          <w:cantSplit/>
          <w:trHeight w:val="115"/>
        </w:trPr>
        <w:tc>
          <w:tcPr>
            <w:tcW w:w="1461" w:type="dxa"/>
            <w:tcBorders>
              <w:left w:val="single" w:sz="12" w:space="0" w:color="auto"/>
              <w:right w:val="double" w:sz="4" w:space="0" w:color="auto"/>
            </w:tcBorders>
            <w:vAlign w:val="center"/>
          </w:tcPr>
          <w:p w:rsidR="0010785C" w:rsidRDefault="0010785C" w:rsidP="00F648E9">
            <w:pPr>
              <w:pStyle w:val="a3"/>
              <w:widowControl/>
              <w:tabs>
                <w:tab w:val="clear" w:pos="4252"/>
                <w:tab w:val="clear" w:pos="8504"/>
              </w:tabs>
              <w:jc w:val="center"/>
              <w:rPr>
                <w:rFonts w:ascii="MS UI Gothic" w:eastAsia="MS UI Gothic" w:hAnsi="MS UI Gothic"/>
              </w:rPr>
            </w:pPr>
            <w:r>
              <w:rPr>
                <w:rFonts w:ascii="MS UI Gothic" w:eastAsia="MS UI Gothic" w:hAnsi="MS UI Gothic" w:hint="eastAsia"/>
              </w:rPr>
              <w:t>販売提携</w:t>
            </w:r>
          </w:p>
        </w:tc>
        <w:tc>
          <w:tcPr>
            <w:tcW w:w="4136" w:type="dxa"/>
            <w:gridSpan w:val="2"/>
            <w:tcBorders>
              <w:left w:val="double" w:sz="4" w:space="0" w:color="auto"/>
              <w:bottom w:val="single" w:sz="4" w:space="0" w:color="auto"/>
            </w:tcBorders>
            <w:vAlign w:val="center"/>
          </w:tcPr>
          <w:p w:rsidR="0010785C" w:rsidRPr="00484EDE" w:rsidRDefault="0010785C" w:rsidP="00343783">
            <w:pPr>
              <w:pStyle w:val="a3"/>
              <w:widowControl/>
              <w:tabs>
                <w:tab w:val="clear" w:pos="4252"/>
                <w:tab w:val="clear" w:pos="8504"/>
              </w:tabs>
              <w:jc w:val="center"/>
              <w:rPr>
                <w:rFonts w:ascii="MS UI Gothic" w:eastAsia="MS UI Gothic" w:hAnsi="MS UI Gothic"/>
              </w:rPr>
            </w:pPr>
            <w:r>
              <w:rPr>
                <w:rFonts w:ascii="MS UI Gothic" w:eastAsia="MS UI Gothic" w:hAnsi="MS UI Gothic" w:hint="eastAsia"/>
              </w:rPr>
              <w:t>興和株式会社</w:t>
            </w:r>
          </w:p>
        </w:tc>
        <w:tc>
          <w:tcPr>
            <w:tcW w:w="4326" w:type="dxa"/>
            <w:gridSpan w:val="2"/>
            <w:tcBorders>
              <w:right w:val="single" w:sz="12" w:space="0" w:color="auto"/>
            </w:tcBorders>
            <w:vAlign w:val="center"/>
          </w:tcPr>
          <w:p w:rsidR="0010785C" w:rsidRPr="00F648E9" w:rsidRDefault="0010785C" w:rsidP="00F648E9">
            <w:pPr>
              <w:pStyle w:val="a3"/>
              <w:widowControl/>
              <w:tabs>
                <w:tab w:val="clear" w:pos="4252"/>
                <w:tab w:val="clear" w:pos="8504"/>
              </w:tabs>
              <w:jc w:val="center"/>
              <w:rPr>
                <w:rFonts w:ascii="ＭＳ Ｐ明朝" w:eastAsia="ＭＳ Ｐ明朝" w:hAnsi="ＭＳ Ｐ明朝"/>
              </w:rPr>
            </w:pPr>
          </w:p>
        </w:tc>
      </w:tr>
      <w:tr w:rsidR="0022655D" w:rsidRPr="00F648E9" w:rsidTr="00764916">
        <w:trPr>
          <w:cantSplit/>
          <w:trHeight w:val="51"/>
        </w:trPr>
        <w:tc>
          <w:tcPr>
            <w:tcW w:w="1461" w:type="dxa"/>
            <w:tcBorders>
              <w:left w:val="single" w:sz="12" w:space="0" w:color="auto"/>
              <w:right w:val="double" w:sz="4" w:space="0" w:color="auto"/>
            </w:tcBorders>
            <w:vAlign w:val="center"/>
          </w:tcPr>
          <w:p w:rsidR="0022655D" w:rsidRDefault="0022655D" w:rsidP="00F648E9">
            <w:pPr>
              <w:pStyle w:val="a3"/>
              <w:widowControl/>
              <w:tabs>
                <w:tab w:val="clear" w:pos="4252"/>
                <w:tab w:val="clear" w:pos="8504"/>
              </w:tabs>
              <w:jc w:val="center"/>
              <w:rPr>
                <w:rFonts w:ascii="MS UI Gothic" w:eastAsia="MS UI Gothic" w:hAnsi="MS UI Gothic"/>
              </w:rPr>
            </w:pPr>
            <w:r>
              <w:rPr>
                <w:rFonts w:ascii="MS UI Gothic" w:eastAsia="MS UI Gothic" w:hAnsi="MS UI Gothic" w:hint="eastAsia"/>
              </w:rPr>
              <w:t>薬価</w:t>
            </w:r>
          </w:p>
        </w:tc>
        <w:tc>
          <w:tcPr>
            <w:tcW w:w="4136" w:type="dxa"/>
            <w:gridSpan w:val="2"/>
            <w:tcBorders>
              <w:left w:val="double" w:sz="4" w:space="0" w:color="auto"/>
              <w:bottom w:val="single" w:sz="4" w:space="0" w:color="auto"/>
            </w:tcBorders>
            <w:shd w:val="clear" w:color="auto" w:fill="auto"/>
            <w:vAlign w:val="center"/>
          </w:tcPr>
          <w:p w:rsidR="0022655D" w:rsidRPr="00F648E9" w:rsidRDefault="0001022F" w:rsidP="00766B8A">
            <w:pPr>
              <w:pStyle w:val="a3"/>
              <w:widowControl/>
              <w:tabs>
                <w:tab w:val="clear" w:pos="4252"/>
                <w:tab w:val="clear" w:pos="8504"/>
              </w:tabs>
              <w:jc w:val="center"/>
              <w:rPr>
                <w:rFonts w:ascii="ＭＳ Ｐ明朝" w:eastAsia="ＭＳ Ｐ明朝" w:hAnsi="ＭＳ Ｐ明朝"/>
              </w:rPr>
            </w:pPr>
            <w:r w:rsidRPr="00F648E9">
              <w:rPr>
                <w:rFonts w:ascii="ＭＳ Ｐ明朝" w:eastAsia="ＭＳ Ｐ明朝" w:hAnsi="ＭＳ Ｐ明朝"/>
              </w:rPr>
              <w:t>1</w:t>
            </w:r>
            <w:r w:rsidR="00B02DE1">
              <w:rPr>
                <w:rFonts w:ascii="ＭＳ Ｐ明朝" w:eastAsia="ＭＳ Ｐ明朝" w:hAnsi="ＭＳ Ｐ明朝" w:hint="eastAsia"/>
              </w:rPr>
              <w:t>錠</w:t>
            </w:r>
            <w:r w:rsidR="00EB2053" w:rsidRPr="007D1159">
              <w:rPr>
                <w:rFonts w:ascii="ＭＳ Ｐ明朝" w:eastAsia="ＭＳ Ｐ明朝" w:hAnsi="ＭＳ Ｐ明朝" w:hint="eastAsia"/>
              </w:rPr>
              <w:t xml:space="preserve">　</w:t>
            </w:r>
            <w:r w:rsidR="00C43153" w:rsidRPr="007D1159">
              <w:rPr>
                <w:rFonts w:ascii="ＭＳ Ｐ明朝" w:eastAsia="ＭＳ Ｐ明朝" w:hAnsi="ＭＳ Ｐ明朝" w:hint="eastAsia"/>
              </w:rPr>
              <w:t>1</w:t>
            </w:r>
            <w:r w:rsidR="00766B8A" w:rsidRPr="007D1159">
              <w:rPr>
                <w:rFonts w:ascii="ＭＳ Ｐ明朝" w:eastAsia="ＭＳ Ｐ明朝" w:hAnsi="ＭＳ Ｐ明朝" w:hint="eastAsia"/>
              </w:rPr>
              <w:t>0</w:t>
            </w:r>
            <w:r w:rsidR="00C43153" w:rsidRPr="007D1159">
              <w:rPr>
                <w:rFonts w:ascii="ＭＳ Ｐ明朝" w:eastAsia="ＭＳ Ｐ明朝" w:hAnsi="ＭＳ Ｐ明朝" w:hint="eastAsia"/>
              </w:rPr>
              <w:t>.</w:t>
            </w:r>
            <w:r w:rsidR="00766B8A" w:rsidRPr="007D1159">
              <w:rPr>
                <w:rFonts w:ascii="ＭＳ Ｐ明朝" w:eastAsia="ＭＳ Ｐ明朝" w:hAnsi="ＭＳ Ｐ明朝" w:hint="eastAsia"/>
              </w:rPr>
              <w:t>70</w:t>
            </w:r>
            <w:r w:rsidR="0022655D" w:rsidRPr="00F648E9">
              <w:rPr>
                <w:rFonts w:ascii="ＭＳ Ｐ明朝" w:eastAsia="ＭＳ Ｐ明朝" w:hAnsi="ＭＳ Ｐ明朝"/>
              </w:rPr>
              <w:t>円</w:t>
            </w:r>
          </w:p>
        </w:tc>
        <w:tc>
          <w:tcPr>
            <w:tcW w:w="4326" w:type="dxa"/>
            <w:gridSpan w:val="2"/>
            <w:tcBorders>
              <w:bottom w:val="single" w:sz="4" w:space="0" w:color="auto"/>
              <w:right w:val="single" w:sz="12" w:space="0" w:color="auto"/>
            </w:tcBorders>
            <w:vAlign w:val="center"/>
          </w:tcPr>
          <w:p w:rsidR="0022655D" w:rsidRPr="00F648E9" w:rsidRDefault="0001022F" w:rsidP="00766B8A">
            <w:pPr>
              <w:pStyle w:val="a3"/>
              <w:widowControl/>
              <w:tabs>
                <w:tab w:val="clear" w:pos="4252"/>
                <w:tab w:val="clear" w:pos="8504"/>
              </w:tabs>
              <w:jc w:val="center"/>
              <w:rPr>
                <w:rFonts w:ascii="ＭＳ Ｐ明朝" w:eastAsia="ＭＳ Ｐ明朝" w:hAnsi="ＭＳ Ｐ明朝"/>
              </w:rPr>
            </w:pPr>
            <w:r w:rsidRPr="00F648E9">
              <w:rPr>
                <w:rFonts w:ascii="ＭＳ Ｐ明朝" w:eastAsia="ＭＳ Ｐ明朝" w:hAnsi="ＭＳ Ｐ明朝"/>
              </w:rPr>
              <w:t>1</w:t>
            </w:r>
            <w:r w:rsidR="00B02DE1">
              <w:rPr>
                <w:rFonts w:ascii="ＭＳ Ｐ明朝" w:eastAsia="ＭＳ Ｐ明朝" w:hAnsi="ＭＳ Ｐ明朝" w:hint="eastAsia"/>
              </w:rPr>
              <w:t>錠</w:t>
            </w:r>
            <w:bookmarkStart w:id="0" w:name="_GoBack"/>
            <w:r w:rsidR="0022655D" w:rsidRPr="007D1159">
              <w:rPr>
                <w:rFonts w:ascii="ＭＳ Ｐ明朝" w:eastAsia="ＭＳ Ｐ明朝" w:hAnsi="ＭＳ Ｐ明朝"/>
              </w:rPr>
              <w:t xml:space="preserve">　</w:t>
            </w:r>
            <w:r w:rsidR="00FF3D67" w:rsidRPr="007D1159">
              <w:rPr>
                <w:rFonts w:ascii="ＭＳ Ｐ明朝" w:eastAsia="ＭＳ Ｐ明朝" w:hAnsi="ＭＳ Ｐ明朝"/>
              </w:rPr>
              <w:t>3</w:t>
            </w:r>
            <w:r w:rsidR="00766B8A" w:rsidRPr="007D1159">
              <w:rPr>
                <w:rFonts w:ascii="ＭＳ Ｐ明朝" w:eastAsia="ＭＳ Ｐ明朝" w:hAnsi="ＭＳ Ｐ明朝"/>
              </w:rPr>
              <w:t>2</w:t>
            </w:r>
            <w:r w:rsidR="003148C1" w:rsidRPr="007D1159">
              <w:rPr>
                <w:rFonts w:ascii="ＭＳ Ｐ明朝" w:eastAsia="ＭＳ Ｐ明朝" w:hAnsi="ＭＳ Ｐ明朝" w:hint="eastAsia"/>
              </w:rPr>
              <w:t>.</w:t>
            </w:r>
            <w:r w:rsidR="00FF3D67" w:rsidRPr="007D1159">
              <w:rPr>
                <w:rFonts w:ascii="ＭＳ Ｐ明朝" w:eastAsia="ＭＳ Ｐ明朝" w:hAnsi="ＭＳ Ｐ明朝"/>
              </w:rPr>
              <w:t>8</w:t>
            </w:r>
            <w:r w:rsidR="00C43153" w:rsidRPr="007D1159">
              <w:rPr>
                <w:rFonts w:ascii="ＭＳ Ｐ明朝" w:eastAsia="ＭＳ Ｐ明朝" w:hAnsi="ＭＳ Ｐ明朝" w:hint="eastAsia"/>
              </w:rPr>
              <w:t>0</w:t>
            </w:r>
            <w:bookmarkEnd w:id="0"/>
            <w:r w:rsidR="0022655D" w:rsidRPr="00F648E9">
              <w:rPr>
                <w:rFonts w:ascii="ＭＳ Ｐ明朝" w:eastAsia="ＭＳ Ｐ明朝" w:hAnsi="ＭＳ Ｐ明朝"/>
              </w:rPr>
              <w:t>円</w:t>
            </w:r>
          </w:p>
        </w:tc>
      </w:tr>
      <w:tr w:rsidR="0022655D" w:rsidRPr="00F648E9" w:rsidTr="00764916">
        <w:trPr>
          <w:cantSplit/>
          <w:trHeight w:val="117"/>
        </w:trPr>
        <w:tc>
          <w:tcPr>
            <w:tcW w:w="1461" w:type="dxa"/>
            <w:tcBorders>
              <w:left w:val="single" w:sz="12" w:space="0" w:color="auto"/>
              <w:right w:val="double" w:sz="4" w:space="0" w:color="auto"/>
            </w:tcBorders>
            <w:vAlign w:val="center"/>
          </w:tcPr>
          <w:p w:rsidR="0022655D" w:rsidRPr="00635ACA" w:rsidRDefault="0022655D" w:rsidP="00F648E9">
            <w:pPr>
              <w:pStyle w:val="a3"/>
              <w:widowControl/>
              <w:tabs>
                <w:tab w:val="clear" w:pos="4252"/>
                <w:tab w:val="clear" w:pos="8504"/>
              </w:tabs>
              <w:jc w:val="center"/>
              <w:rPr>
                <w:rFonts w:ascii="MS UI Gothic" w:eastAsia="MS UI Gothic" w:hAnsi="MS UI Gothic"/>
              </w:rPr>
            </w:pPr>
            <w:r w:rsidRPr="00635ACA">
              <w:rPr>
                <w:rFonts w:ascii="MS UI Gothic" w:eastAsia="MS UI Gothic" w:hAnsi="MS UI Gothic" w:hint="eastAsia"/>
              </w:rPr>
              <w:t>成分名</w:t>
            </w:r>
          </w:p>
        </w:tc>
        <w:tc>
          <w:tcPr>
            <w:tcW w:w="8462" w:type="dxa"/>
            <w:gridSpan w:val="4"/>
            <w:tcBorders>
              <w:left w:val="double" w:sz="4" w:space="0" w:color="auto"/>
              <w:right w:val="single" w:sz="12" w:space="0" w:color="auto"/>
            </w:tcBorders>
            <w:vAlign w:val="center"/>
          </w:tcPr>
          <w:p w:rsidR="0022655D" w:rsidRPr="00F648E9" w:rsidRDefault="00C43153" w:rsidP="00F648E9">
            <w:pPr>
              <w:pStyle w:val="a3"/>
              <w:widowControl/>
              <w:tabs>
                <w:tab w:val="clear" w:pos="4252"/>
                <w:tab w:val="clear" w:pos="8504"/>
              </w:tabs>
              <w:jc w:val="left"/>
              <w:rPr>
                <w:rFonts w:ascii="ＭＳ Ｐ明朝" w:eastAsia="ＭＳ Ｐ明朝" w:hAnsi="ＭＳ Ｐ明朝"/>
              </w:rPr>
            </w:pPr>
            <w:r>
              <w:rPr>
                <w:rFonts w:ascii="ＭＳ Ｐ明朝" w:eastAsia="ＭＳ Ｐ明朝" w:hAnsi="ＭＳ Ｐ明朝" w:hint="eastAsia"/>
              </w:rPr>
              <w:t>ピタバスタチンカルシウム</w:t>
            </w:r>
            <w:r w:rsidR="00764916" w:rsidRPr="00CC4739">
              <w:rPr>
                <w:rFonts w:ascii="ＭＳ Ｐ明朝" w:eastAsia="ＭＳ Ｐ明朝" w:hAnsi="ＭＳ Ｐ明朝" w:hint="eastAsia"/>
                <w:color w:val="000000" w:themeColor="text1"/>
              </w:rPr>
              <w:t>水和物</w:t>
            </w:r>
          </w:p>
        </w:tc>
      </w:tr>
      <w:tr w:rsidR="0022655D" w:rsidRPr="00F648E9" w:rsidTr="00764916">
        <w:trPr>
          <w:cantSplit/>
          <w:trHeight w:val="51"/>
        </w:trPr>
        <w:tc>
          <w:tcPr>
            <w:tcW w:w="1461" w:type="dxa"/>
            <w:tcBorders>
              <w:left w:val="single" w:sz="12" w:space="0" w:color="auto"/>
              <w:right w:val="double" w:sz="4" w:space="0" w:color="auto"/>
            </w:tcBorders>
            <w:vAlign w:val="center"/>
          </w:tcPr>
          <w:p w:rsidR="0022655D" w:rsidRPr="00635ACA" w:rsidRDefault="0022655D" w:rsidP="00F648E9">
            <w:pPr>
              <w:pStyle w:val="a3"/>
              <w:widowControl/>
              <w:tabs>
                <w:tab w:val="clear" w:pos="4252"/>
                <w:tab w:val="clear" w:pos="8504"/>
              </w:tabs>
              <w:jc w:val="center"/>
              <w:rPr>
                <w:rFonts w:ascii="MS UI Gothic" w:eastAsia="MS UI Gothic" w:hAnsi="MS UI Gothic"/>
              </w:rPr>
            </w:pPr>
            <w:r w:rsidRPr="00635ACA">
              <w:rPr>
                <w:rFonts w:ascii="MS UI Gothic" w:eastAsia="MS UI Gothic" w:hAnsi="MS UI Gothic" w:hint="eastAsia"/>
              </w:rPr>
              <w:t>規格</w:t>
            </w:r>
          </w:p>
        </w:tc>
        <w:tc>
          <w:tcPr>
            <w:tcW w:w="8462" w:type="dxa"/>
            <w:gridSpan w:val="4"/>
            <w:tcBorders>
              <w:left w:val="double" w:sz="4" w:space="0" w:color="auto"/>
              <w:right w:val="single" w:sz="12" w:space="0" w:color="auto"/>
            </w:tcBorders>
            <w:vAlign w:val="center"/>
          </w:tcPr>
          <w:p w:rsidR="0022655D" w:rsidRPr="00D13E58" w:rsidRDefault="00C43153" w:rsidP="00C43153">
            <w:pPr>
              <w:pStyle w:val="a3"/>
              <w:widowControl/>
              <w:tabs>
                <w:tab w:val="clear" w:pos="4252"/>
                <w:tab w:val="clear" w:pos="8504"/>
              </w:tabs>
              <w:jc w:val="left"/>
              <w:rPr>
                <w:rFonts w:ascii="ＭＳ Ｐ明朝" w:eastAsia="ＭＳ Ｐ明朝" w:hAnsi="ＭＳ Ｐ明朝"/>
              </w:rPr>
            </w:pPr>
            <w:r>
              <w:rPr>
                <w:rFonts w:ascii="ＭＳ Ｐ明朝" w:eastAsia="ＭＳ Ｐ明朝" w:hAnsi="ＭＳ Ｐ明朝"/>
              </w:rPr>
              <w:t>1</w:t>
            </w:r>
            <w:r>
              <w:rPr>
                <w:rFonts w:ascii="ＭＳ Ｐ明朝" w:eastAsia="ＭＳ Ｐ明朝" w:hAnsi="ＭＳ Ｐ明朝" w:hint="eastAsia"/>
              </w:rPr>
              <w:t>錠</w:t>
            </w:r>
            <w:r>
              <w:rPr>
                <w:rFonts w:ascii="ＭＳ Ｐ明朝" w:eastAsia="ＭＳ Ｐ明朝" w:hAnsi="ＭＳ Ｐ明朝"/>
              </w:rPr>
              <w:t>中</w:t>
            </w:r>
            <w:r>
              <w:rPr>
                <w:rFonts w:ascii="ＭＳ Ｐ明朝" w:eastAsia="ＭＳ Ｐ明朝" w:hAnsi="ＭＳ Ｐ明朝" w:hint="eastAsia"/>
              </w:rPr>
              <w:t>ピタバスタチンカルシウムと</w:t>
            </w:r>
            <w:r w:rsidR="00766470" w:rsidRPr="00D13E58">
              <w:rPr>
                <w:rFonts w:ascii="ＭＳ Ｐ明朝" w:eastAsia="ＭＳ Ｐ明朝" w:hAnsi="ＭＳ Ｐ明朝" w:hint="eastAsia"/>
              </w:rPr>
              <w:t>して</w:t>
            </w:r>
            <w:r>
              <w:rPr>
                <w:rFonts w:ascii="ＭＳ Ｐ明朝" w:eastAsia="ＭＳ Ｐ明朝" w:hAnsi="ＭＳ Ｐ明朝"/>
              </w:rPr>
              <w:t>1</w:t>
            </w:r>
            <w:r w:rsidR="00E918AD" w:rsidRPr="00D13E58">
              <w:rPr>
                <w:rFonts w:ascii="ＭＳ Ｐ明朝" w:eastAsia="ＭＳ Ｐ明朝" w:hAnsi="ＭＳ Ｐ明朝" w:hint="eastAsia"/>
              </w:rPr>
              <w:t>.0</w:t>
            </w:r>
            <w:r w:rsidR="001F7120">
              <w:rPr>
                <w:rFonts w:ascii="ＭＳ Ｐ明朝" w:eastAsia="ＭＳ Ｐ明朝" w:hAnsi="ＭＳ Ｐ明朝"/>
              </w:rPr>
              <w:t>mg</w:t>
            </w:r>
          </w:p>
        </w:tc>
      </w:tr>
      <w:tr w:rsidR="00F137A2" w:rsidRPr="00F648E9" w:rsidTr="00764916">
        <w:trPr>
          <w:cantSplit/>
          <w:trHeight w:val="51"/>
        </w:trPr>
        <w:tc>
          <w:tcPr>
            <w:tcW w:w="1461" w:type="dxa"/>
            <w:tcBorders>
              <w:left w:val="single" w:sz="12" w:space="0" w:color="auto"/>
              <w:right w:val="double" w:sz="4" w:space="0" w:color="auto"/>
            </w:tcBorders>
            <w:vAlign w:val="center"/>
          </w:tcPr>
          <w:p w:rsidR="00F137A2" w:rsidRPr="00635ACA" w:rsidRDefault="00764916" w:rsidP="00F648E9">
            <w:pPr>
              <w:pStyle w:val="a3"/>
              <w:widowControl/>
              <w:tabs>
                <w:tab w:val="clear" w:pos="4252"/>
                <w:tab w:val="clear" w:pos="8504"/>
              </w:tabs>
              <w:jc w:val="center"/>
              <w:rPr>
                <w:rFonts w:ascii="MS UI Gothic" w:eastAsia="MS UI Gothic" w:hAnsi="MS UI Gothic"/>
              </w:rPr>
            </w:pPr>
            <w:r w:rsidRPr="00CC4739">
              <w:rPr>
                <w:rFonts w:ascii="MS UI Gothic" w:eastAsia="MS UI Gothic" w:hAnsi="MS UI Gothic" w:hint="eastAsia"/>
                <w:color w:val="000000" w:themeColor="text1"/>
              </w:rPr>
              <w:t>効能又は</w:t>
            </w:r>
            <w:r w:rsidR="00F137A2" w:rsidRPr="00CC4739">
              <w:rPr>
                <w:rFonts w:ascii="MS UI Gothic" w:eastAsia="MS UI Gothic" w:hAnsi="MS UI Gothic" w:hint="eastAsia"/>
                <w:color w:val="000000" w:themeColor="text1"/>
              </w:rPr>
              <w:t>効果</w:t>
            </w:r>
          </w:p>
        </w:tc>
        <w:tc>
          <w:tcPr>
            <w:tcW w:w="1845" w:type="dxa"/>
            <w:tcBorders>
              <w:left w:val="double" w:sz="4" w:space="0" w:color="auto"/>
              <w:bottom w:val="single" w:sz="4" w:space="0" w:color="auto"/>
              <w:right w:val="nil"/>
            </w:tcBorders>
            <w:vAlign w:val="center"/>
          </w:tcPr>
          <w:p w:rsidR="00F137A2" w:rsidRPr="00F648E9" w:rsidRDefault="00F137A2" w:rsidP="00F137A2">
            <w:pPr>
              <w:pStyle w:val="a3"/>
              <w:widowControl/>
              <w:tabs>
                <w:tab w:val="clear" w:pos="4252"/>
                <w:tab w:val="clear" w:pos="8504"/>
              </w:tabs>
              <w:jc w:val="left"/>
              <w:rPr>
                <w:rFonts w:ascii="ＭＳ Ｐ明朝" w:eastAsia="ＭＳ Ｐ明朝" w:hAnsi="ＭＳ Ｐ明朝"/>
                <w:szCs w:val="21"/>
              </w:rPr>
            </w:pPr>
            <w:r w:rsidRPr="0045467B">
              <w:rPr>
                <w:rFonts w:ascii="ＭＳ Ｐ明朝" w:eastAsia="ＭＳ Ｐ明朝" w:hAnsi="ＭＳ Ｐ明朝"/>
              </w:rPr>
              <w:t>【標準製剤と同じ】</w:t>
            </w:r>
          </w:p>
        </w:tc>
        <w:tc>
          <w:tcPr>
            <w:tcW w:w="6617" w:type="dxa"/>
            <w:gridSpan w:val="3"/>
            <w:tcBorders>
              <w:left w:val="nil"/>
              <w:bottom w:val="single" w:sz="4" w:space="0" w:color="auto"/>
              <w:right w:val="single" w:sz="12" w:space="0" w:color="auto"/>
            </w:tcBorders>
            <w:vAlign w:val="center"/>
          </w:tcPr>
          <w:p w:rsidR="00F137A2" w:rsidRPr="00F648E9" w:rsidRDefault="00F137A2" w:rsidP="008316B8">
            <w:pPr>
              <w:pStyle w:val="a3"/>
              <w:widowControl/>
              <w:tabs>
                <w:tab w:val="clear" w:pos="4252"/>
                <w:tab w:val="clear" w:pos="8504"/>
              </w:tabs>
              <w:ind w:leftChars="-47" w:left="-99" w:firstLineChars="50" w:firstLine="105"/>
              <w:jc w:val="left"/>
              <w:rPr>
                <w:rFonts w:ascii="ＭＳ Ｐ明朝" w:eastAsia="ＭＳ Ｐ明朝" w:hAnsi="ＭＳ Ｐ明朝"/>
                <w:szCs w:val="21"/>
              </w:rPr>
            </w:pPr>
            <w:r w:rsidRPr="00F137A2">
              <w:rPr>
                <w:rFonts w:ascii="ＭＳ Ｐ明朝" w:eastAsia="ＭＳ Ｐ明朝" w:hAnsi="ＭＳ Ｐ明朝" w:hint="eastAsia"/>
                <w:szCs w:val="21"/>
              </w:rPr>
              <w:t>高</w:t>
            </w:r>
            <w:r w:rsidR="008316B8">
              <w:rPr>
                <w:rFonts w:ascii="ＭＳ Ｐ明朝" w:eastAsia="ＭＳ Ｐ明朝" w:hAnsi="ＭＳ Ｐ明朝" w:hint="eastAsia"/>
                <w:szCs w:val="21"/>
              </w:rPr>
              <w:t>コレステロール</w:t>
            </w:r>
            <w:r w:rsidRPr="00F137A2">
              <w:rPr>
                <w:rFonts w:ascii="ＭＳ Ｐ明朝" w:eastAsia="ＭＳ Ｐ明朝" w:hAnsi="ＭＳ Ｐ明朝" w:hint="eastAsia"/>
                <w:szCs w:val="21"/>
              </w:rPr>
              <w:t>血症、家族性高コレステロール血症</w:t>
            </w:r>
          </w:p>
        </w:tc>
      </w:tr>
      <w:tr w:rsidR="00DD415D" w:rsidRPr="002824C6" w:rsidTr="00764916">
        <w:trPr>
          <w:cantSplit/>
          <w:trHeight w:val="1644"/>
        </w:trPr>
        <w:tc>
          <w:tcPr>
            <w:tcW w:w="1461" w:type="dxa"/>
            <w:tcBorders>
              <w:left w:val="single" w:sz="12" w:space="0" w:color="auto"/>
              <w:right w:val="double" w:sz="4" w:space="0" w:color="auto"/>
            </w:tcBorders>
            <w:vAlign w:val="center"/>
          </w:tcPr>
          <w:p w:rsidR="00DD415D" w:rsidRPr="00635ACA" w:rsidRDefault="00DD415D" w:rsidP="005E17F0">
            <w:pPr>
              <w:snapToGrid w:val="0"/>
              <w:jc w:val="center"/>
              <w:rPr>
                <w:rFonts w:ascii="MS UI Gothic" w:eastAsia="MS UI Gothic" w:hAnsi="MS UI Gothic"/>
              </w:rPr>
            </w:pPr>
            <w:r w:rsidRPr="00CC4739">
              <w:rPr>
                <w:rFonts w:ascii="MS UI Gothic" w:eastAsia="MS UI Gothic" w:hAnsi="MS UI Gothic" w:hint="eastAsia"/>
                <w:color w:val="000000" w:themeColor="text1"/>
              </w:rPr>
              <w:t>用法</w:t>
            </w:r>
            <w:r w:rsidR="00764916" w:rsidRPr="00CC4739">
              <w:rPr>
                <w:rFonts w:ascii="MS UI Gothic" w:eastAsia="MS UI Gothic" w:hAnsi="MS UI Gothic" w:hint="eastAsia"/>
                <w:color w:val="000000" w:themeColor="text1"/>
              </w:rPr>
              <w:t>及び</w:t>
            </w:r>
            <w:r w:rsidRPr="00CC4739">
              <w:rPr>
                <w:rFonts w:ascii="MS UI Gothic" w:eastAsia="MS UI Gothic" w:hAnsi="MS UI Gothic" w:hint="eastAsia"/>
                <w:color w:val="000000" w:themeColor="text1"/>
              </w:rPr>
              <w:t>用量</w:t>
            </w:r>
          </w:p>
        </w:tc>
        <w:tc>
          <w:tcPr>
            <w:tcW w:w="1845" w:type="dxa"/>
            <w:tcBorders>
              <w:left w:val="double" w:sz="4" w:space="0" w:color="auto"/>
              <w:right w:val="nil"/>
            </w:tcBorders>
            <w:vAlign w:val="center"/>
          </w:tcPr>
          <w:p w:rsidR="00DD415D" w:rsidRDefault="003F5D23" w:rsidP="003F5D23">
            <w:pPr>
              <w:snapToGrid w:val="0"/>
              <w:ind w:rightChars="-34" w:right="-71"/>
              <w:rPr>
                <w:rFonts w:ascii="ＭＳ Ｐ明朝" w:eastAsia="ＭＳ Ｐ明朝" w:hAnsi="ＭＳ Ｐ明朝"/>
                <w:szCs w:val="21"/>
              </w:rPr>
            </w:pPr>
            <w:r w:rsidRPr="0045467B">
              <w:rPr>
                <w:rFonts w:ascii="ＭＳ Ｐ明朝" w:eastAsia="ＭＳ Ｐ明朝" w:hAnsi="ＭＳ Ｐ明朝"/>
              </w:rPr>
              <w:t>【標準製剤と同じ】</w:t>
            </w:r>
          </w:p>
        </w:tc>
        <w:tc>
          <w:tcPr>
            <w:tcW w:w="6617" w:type="dxa"/>
            <w:gridSpan w:val="3"/>
            <w:tcBorders>
              <w:left w:val="nil"/>
              <w:right w:val="single" w:sz="12" w:space="0" w:color="auto"/>
            </w:tcBorders>
            <w:vAlign w:val="center"/>
          </w:tcPr>
          <w:p w:rsidR="00DD415D" w:rsidRPr="00823A80" w:rsidRDefault="00DD415D" w:rsidP="00F648E9">
            <w:pPr>
              <w:snapToGrid w:val="0"/>
              <w:jc w:val="left"/>
              <w:rPr>
                <w:rFonts w:asciiTheme="majorEastAsia" w:eastAsiaTheme="majorEastAsia" w:hAnsiTheme="majorEastAsia"/>
                <w:b/>
                <w:szCs w:val="21"/>
                <w:u w:val="single"/>
              </w:rPr>
            </w:pPr>
            <w:r w:rsidRPr="00823A80">
              <w:rPr>
                <w:rFonts w:asciiTheme="majorEastAsia" w:eastAsiaTheme="majorEastAsia" w:hAnsiTheme="majorEastAsia" w:hint="eastAsia"/>
                <w:b/>
                <w:szCs w:val="21"/>
                <w:u w:val="single"/>
              </w:rPr>
              <w:t>高コレステロール血症</w:t>
            </w:r>
          </w:p>
          <w:p w:rsidR="00DD415D" w:rsidRDefault="00DD415D" w:rsidP="00F648E9">
            <w:pPr>
              <w:snapToGrid w:val="0"/>
              <w:jc w:val="left"/>
              <w:rPr>
                <w:rFonts w:ascii="ＭＳ Ｐ明朝" w:eastAsia="ＭＳ Ｐ明朝" w:hAnsi="ＭＳ Ｐ明朝"/>
                <w:szCs w:val="21"/>
              </w:rPr>
            </w:pPr>
            <w:r>
              <w:rPr>
                <w:rFonts w:ascii="ＭＳ Ｐ明朝" w:eastAsia="ＭＳ Ｐ明朝" w:hAnsi="ＭＳ Ｐ明朝" w:hint="eastAsia"/>
                <w:szCs w:val="21"/>
              </w:rPr>
              <w:t>通常、成人にはピタバスタチンカルシウムとして1～2mgを1日1回経口投与する。</w:t>
            </w:r>
          </w:p>
          <w:p w:rsidR="00DD415D" w:rsidRDefault="00DD415D" w:rsidP="00F648E9">
            <w:pPr>
              <w:snapToGrid w:val="0"/>
              <w:jc w:val="left"/>
              <w:rPr>
                <w:rFonts w:ascii="ＭＳ Ｐ明朝" w:eastAsia="ＭＳ Ｐ明朝" w:hAnsi="ＭＳ Ｐ明朝"/>
                <w:szCs w:val="21"/>
              </w:rPr>
            </w:pPr>
            <w:r>
              <w:rPr>
                <w:rFonts w:ascii="ＭＳ Ｐ明朝" w:eastAsia="ＭＳ Ｐ明朝" w:hAnsi="ＭＳ Ｐ明朝" w:hint="eastAsia"/>
                <w:szCs w:val="21"/>
              </w:rPr>
              <w:t>なお、年齢、症状により適宜増減し、LDL-コレステロール値の低下が不十分な場合には増量できるが、最大投与量は1日4mgまでとする。</w:t>
            </w:r>
          </w:p>
          <w:p w:rsidR="00DD415D" w:rsidRPr="00823A80" w:rsidRDefault="00DD415D" w:rsidP="00F648E9">
            <w:pPr>
              <w:snapToGrid w:val="0"/>
              <w:jc w:val="left"/>
              <w:rPr>
                <w:rFonts w:asciiTheme="majorEastAsia" w:eastAsiaTheme="majorEastAsia" w:hAnsiTheme="majorEastAsia"/>
                <w:b/>
                <w:szCs w:val="21"/>
                <w:u w:val="single"/>
              </w:rPr>
            </w:pPr>
            <w:r w:rsidRPr="00823A80">
              <w:rPr>
                <w:rFonts w:asciiTheme="majorEastAsia" w:eastAsiaTheme="majorEastAsia" w:hAnsiTheme="majorEastAsia" w:hint="eastAsia"/>
                <w:b/>
                <w:szCs w:val="21"/>
                <w:u w:val="single"/>
              </w:rPr>
              <w:t>家族性高コレステロール血症</w:t>
            </w:r>
          </w:p>
          <w:p w:rsidR="00DD415D" w:rsidRDefault="00DD415D" w:rsidP="00F648E9">
            <w:pPr>
              <w:snapToGrid w:val="0"/>
              <w:jc w:val="left"/>
              <w:rPr>
                <w:rFonts w:ascii="ＭＳ Ｐ明朝" w:eastAsia="ＭＳ Ｐ明朝" w:hAnsi="ＭＳ Ｐ明朝"/>
                <w:szCs w:val="21"/>
              </w:rPr>
            </w:pPr>
            <w:r>
              <w:rPr>
                <w:rFonts w:ascii="ＭＳ Ｐ明朝" w:eastAsia="ＭＳ Ｐ明朝" w:hAnsi="ＭＳ Ｐ明朝" w:hint="eastAsia"/>
                <w:szCs w:val="21"/>
              </w:rPr>
              <w:t>成人：通常、成人にはピタバスタチンカルシウムとして1～2mgを1日1回経口投与する。</w:t>
            </w:r>
          </w:p>
          <w:p w:rsidR="00B611BF" w:rsidRDefault="00DD415D" w:rsidP="00F648E9">
            <w:pPr>
              <w:snapToGrid w:val="0"/>
              <w:jc w:val="left"/>
              <w:rPr>
                <w:rFonts w:ascii="ＭＳ Ｐ明朝" w:eastAsia="ＭＳ Ｐ明朝" w:hAnsi="ＭＳ Ｐ明朝"/>
                <w:szCs w:val="21"/>
              </w:rPr>
            </w:pPr>
            <w:r>
              <w:rPr>
                <w:rFonts w:ascii="ＭＳ Ｐ明朝" w:eastAsia="ＭＳ Ｐ明朝" w:hAnsi="ＭＳ Ｐ明朝" w:hint="eastAsia"/>
                <w:szCs w:val="21"/>
              </w:rPr>
              <w:t>なお、年齢、症状により適宜増減し、LDL-コレステロール値の低下が不十分な場合には増量できるが、最大投与量は1日4mgまでとする。</w:t>
            </w:r>
          </w:p>
          <w:p w:rsidR="00DD415D" w:rsidRDefault="00DD415D" w:rsidP="00F648E9">
            <w:pPr>
              <w:snapToGrid w:val="0"/>
              <w:jc w:val="left"/>
              <w:rPr>
                <w:rFonts w:ascii="ＭＳ Ｐ明朝" w:eastAsia="ＭＳ Ｐ明朝" w:hAnsi="ＭＳ Ｐ明朝"/>
                <w:szCs w:val="21"/>
              </w:rPr>
            </w:pPr>
            <w:r>
              <w:rPr>
                <w:rFonts w:ascii="ＭＳ Ｐ明朝" w:eastAsia="ＭＳ Ｐ明朝" w:hAnsi="ＭＳ Ｐ明朝" w:hint="eastAsia"/>
                <w:szCs w:val="21"/>
              </w:rPr>
              <w:t>小児：通常、10歳以上の小児にはピタバスタチンカルシウムとして1mgを1日1回経口投与する。</w:t>
            </w:r>
          </w:p>
          <w:p w:rsidR="00DD415D" w:rsidRPr="00F648E9" w:rsidRDefault="00DD415D" w:rsidP="00F648E9">
            <w:pPr>
              <w:snapToGrid w:val="0"/>
              <w:jc w:val="left"/>
              <w:rPr>
                <w:rFonts w:ascii="ＭＳ Ｐ明朝" w:eastAsia="ＭＳ Ｐ明朝" w:hAnsi="ＭＳ Ｐ明朝"/>
                <w:szCs w:val="21"/>
              </w:rPr>
            </w:pPr>
            <w:r>
              <w:rPr>
                <w:rFonts w:ascii="ＭＳ Ｐ明朝" w:eastAsia="ＭＳ Ｐ明朝" w:hAnsi="ＭＳ Ｐ明朝" w:hint="eastAsia"/>
                <w:szCs w:val="21"/>
              </w:rPr>
              <w:t>なお、症状により適宜増減し、LDL</w:t>
            </w:r>
            <w:r>
              <w:rPr>
                <w:rFonts w:ascii="ＭＳ Ｐ明朝" w:eastAsia="ＭＳ Ｐ明朝" w:hAnsi="ＭＳ Ｐ明朝"/>
                <w:szCs w:val="21"/>
              </w:rPr>
              <w:t>-</w:t>
            </w:r>
            <w:r>
              <w:rPr>
                <w:rFonts w:ascii="ＭＳ Ｐ明朝" w:eastAsia="ＭＳ Ｐ明朝" w:hAnsi="ＭＳ Ｐ明朝" w:hint="eastAsia"/>
                <w:szCs w:val="21"/>
              </w:rPr>
              <w:t>コレステロール値の低下が不十分な場合には増量できるが、最大投与量は1日2mgまでとする。</w:t>
            </w:r>
          </w:p>
        </w:tc>
      </w:tr>
      <w:tr w:rsidR="00FD7DA3" w:rsidRPr="00EC59F5" w:rsidTr="00764916">
        <w:trPr>
          <w:cantSplit/>
          <w:trHeight w:val="89"/>
        </w:trPr>
        <w:tc>
          <w:tcPr>
            <w:tcW w:w="1461" w:type="dxa"/>
            <w:tcBorders>
              <w:left w:val="single" w:sz="12" w:space="0" w:color="auto"/>
              <w:bottom w:val="single" w:sz="4" w:space="0" w:color="auto"/>
              <w:right w:val="double" w:sz="4" w:space="0" w:color="auto"/>
            </w:tcBorders>
            <w:vAlign w:val="center"/>
          </w:tcPr>
          <w:p w:rsidR="00FD7DA3" w:rsidRPr="00635ACA" w:rsidRDefault="00FD7DA3">
            <w:pPr>
              <w:snapToGrid w:val="0"/>
              <w:jc w:val="center"/>
              <w:rPr>
                <w:rFonts w:ascii="MS UI Gothic" w:eastAsia="MS UI Gothic" w:hAnsi="MS UI Gothic"/>
              </w:rPr>
            </w:pPr>
            <w:r w:rsidRPr="00635ACA">
              <w:rPr>
                <w:rFonts w:ascii="MS UI Gothic" w:eastAsia="MS UI Gothic" w:hAnsi="MS UI Gothic" w:hint="eastAsia"/>
              </w:rPr>
              <w:t>添加物</w:t>
            </w:r>
          </w:p>
        </w:tc>
        <w:tc>
          <w:tcPr>
            <w:tcW w:w="8462" w:type="dxa"/>
            <w:gridSpan w:val="4"/>
            <w:tcBorders>
              <w:top w:val="single" w:sz="4" w:space="0" w:color="auto"/>
              <w:left w:val="double" w:sz="4" w:space="0" w:color="auto"/>
              <w:bottom w:val="single" w:sz="4" w:space="0" w:color="auto"/>
              <w:right w:val="single" w:sz="12" w:space="0" w:color="auto"/>
            </w:tcBorders>
            <w:vAlign w:val="center"/>
          </w:tcPr>
          <w:p w:rsidR="00FD7DA3" w:rsidRPr="00F648E9" w:rsidRDefault="00B824CB" w:rsidP="005C5520">
            <w:pPr>
              <w:pStyle w:val="a3"/>
              <w:widowControl/>
              <w:tabs>
                <w:tab w:val="clear" w:pos="4252"/>
                <w:tab w:val="clear" w:pos="8504"/>
              </w:tabs>
              <w:rPr>
                <w:rFonts w:ascii="ＭＳ Ｐ明朝" w:eastAsia="ＭＳ Ｐ明朝" w:hAnsi="ＭＳ Ｐ明朝"/>
                <w:szCs w:val="21"/>
              </w:rPr>
            </w:pPr>
            <w:r>
              <w:rPr>
                <w:rFonts w:ascii="ＭＳ Ｐ明朝" w:eastAsia="ＭＳ Ｐ明朝" w:hAnsi="ＭＳ Ｐ明朝"/>
                <w:szCs w:val="21"/>
              </w:rPr>
              <w:t>D</w:t>
            </w:r>
            <w:r>
              <w:rPr>
                <w:rFonts w:ascii="ＭＳ Ｐ明朝" w:eastAsia="ＭＳ Ｐ明朝" w:hAnsi="ＭＳ Ｐ明朝" w:hint="eastAsia"/>
                <w:szCs w:val="21"/>
              </w:rPr>
              <w:t>-マンニトール、クロスポビドン、メタケイ酸アルミン酸</w:t>
            </w:r>
            <w:r w:rsidR="00A51CAE">
              <w:rPr>
                <w:rFonts w:ascii="ＭＳ Ｐ明朝" w:eastAsia="ＭＳ Ｐ明朝" w:hAnsi="ＭＳ Ｐ明朝" w:hint="eastAsia"/>
                <w:szCs w:val="21"/>
              </w:rPr>
              <w:t>M</w:t>
            </w:r>
            <w:r w:rsidR="00A51CAE">
              <w:rPr>
                <w:rFonts w:ascii="ＭＳ Ｐ明朝" w:eastAsia="ＭＳ Ｐ明朝" w:hAnsi="ＭＳ Ｐ明朝"/>
                <w:szCs w:val="21"/>
              </w:rPr>
              <w:t>g</w:t>
            </w:r>
            <w:r>
              <w:rPr>
                <w:rFonts w:ascii="ＭＳ Ｐ明朝" w:eastAsia="ＭＳ Ｐ明朝" w:hAnsi="ＭＳ Ｐ明朝" w:hint="eastAsia"/>
                <w:szCs w:val="21"/>
              </w:rPr>
              <w:t>、ヒプロメロース、塩化</w:t>
            </w:r>
            <w:r w:rsidR="005C5520">
              <w:rPr>
                <w:rFonts w:ascii="ＭＳ Ｐ明朝" w:eastAsia="ＭＳ Ｐ明朝" w:hAnsi="ＭＳ Ｐ明朝" w:hint="eastAsia"/>
                <w:szCs w:val="21"/>
              </w:rPr>
              <w:t>C</w:t>
            </w:r>
            <w:r w:rsidR="005C5520">
              <w:rPr>
                <w:rFonts w:ascii="ＭＳ Ｐ明朝" w:eastAsia="ＭＳ Ｐ明朝" w:hAnsi="ＭＳ Ｐ明朝"/>
                <w:szCs w:val="21"/>
              </w:rPr>
              <w:t>a</w:t>
            </w:r>
            <w:r>
              <w:rPr>
                <w:rFonts w:ascii="ＭＳ Ｐ明朝" w:eastAsia="ＭＳ Ｐ明朝" w:hAnsi="ＭＳ Ｐ明朝" w:hint="eastAsia"/>
                <w:szCs w:val="21"/>
              </w:rPr>
              <w:t>水和物、スクラロース、l-メントール、黄色三二酸化鉄、酸化チタ</w:t>
            </w:r>
            <w:r w:rsidR="002725C5">
              <w:rPr>
                <w:rFonts w:ascii="ＭＳ Ｐ明朝" w:eastAsia="ＭＳ Ｐ明朝" w:hAnsi="ＭＳ Ｐ明朝" w:hint="eastAsia"/>
                <w:szCs w:val="21"/>
              </w:rPr>
              <w:t>ン、キシリトール、結晶セルロース、無水リン酸水素</w:t>
            </w:r>
            <w:r w:rsidR="005C5520">
              <w:rPr>
                <w:rFonts w:ascii="ＭＳ Ｐ明朝" w:eastAsia="ＭＳ Ｐ明朝" w:hAnsi="ＭＳ Ｐ明朝" w:hint="eastAsia"/>
                <w:szCs w:val="21"/>
              </w:rPr>
              <w:t>C</w:t>
            </w:r>
            <w:r w:rsidR="005C5520">
              <w:rPr>
                <w:rFonts w:ascii="ＭＳ Ｐ明朝" w:eastAsia="ＭＳ Ｐ明朝" w:hAnsi="ＭＳ Ｐ明朝"/>
                <w:szCs w:val="21"/>
              </w:rPr>
              <w:t>a</w:t>
            </w:r>
            <w:r w:rsidR="002725C5">
              <w:rPr>
                <w:rFonts w:ascii="ＭＳ Ｐ明朝" w:eastAsia="ＭＳ Ｐ明朝" w:hAnsi="ＭＳ Ｐ明朝" w:hint="eastAsia"/>
                <w:szCs w:val="21"/>
              </w:rPr>
              <w:t>、アミノ</w:t>
            </w:r>
            <w:r>
              <w:rPr>
                <w:rFonts w:ascii="ＭＳ Ｐ明朝" w:eastAsia="ＭＳ Ｐ明朝" w:hAnsi="ＭＳ Ｐ明朝" w:hint="eastAsia"/>
                <w:szCs w:val="21"/>
              </w:rPr>
              <w:t>アルキルメタクリレートコポリマーE、ステアリン酸</w:t>
            </w:r>
            <w:r w:rsidR="005C5520">
              <w:rPr>
                <w:rFonts w:ascii="ＭＳ Ｐ明朝" w:eastAsia="ＭＳ Ｐ明朝" w:hAnsi="ＭＳ Ｐ明朝" w:hint="eastAsia"/>
                <w:szCs w:val="21"/>
              </w:rPr>
              <w:t>C</w:t>
            </w:r>
            <w:r w:rsidR="005C5520">
              <w:rPr>
                <w:rFonts w:ascii="ＭＳ Ｐ明朝" w:eastAsia="ＭＳ Ｐ明朝" w:hAnsi="ＭＳ Ｐ明朝"/>
                <w:szCs w:val="21"/>
              </w:rPr>
              <w:t>a</w:t>
            </w:r>
            <w:r>
              <w:rPr>
                <w:rFonts w:ascii="ＭＳ Ｐ明朝" w:eastAsia="ＭＳ Ｐ明朝" w:hAnsi="ＭＳ Ｐ明朝" w:hint="eastAsia"/>
                <w:szCs w:val="21"/>
              </w:rPr>
              <w:t>、香料</w:t>
            </w:r>
          </w:p>
        </w:tc>
      </w:tr>
      <w:tr w:rsidR="008C1244" w:rsidRPr="00EC59F5" w:rsidTr="00764916">
        <w:trPr>
          <w:cantSplit/>
          <w:trHeight w:val="737"/>
        </w:trPr>
        <w:tc>
          <w:tcPr>
            <w:tcW w:w="1461" w:type="dxa"/>
            <w:vMerge w:val="restart"/>
            <w:tcBorders>
              <w:left w:val="single" w:sz="12" w:space="0" w:color="auto"/>
              <w:right w:val="double" w:sz="4" w:space="0" w:color="auto"/>
            </w:tcBorders>
            <w:vAlign w:val="center"/>
          </w:tcPr>
          <w:p w:rsidR="008C1244" w:rsidRPr="00635ACA" w:rsidRDefault="00117675" w:rsidP="00D13E58">
            <w:pPr>
              <w:snapToGrid w:val="0"/>
              <w:jc w:val="center"/>
              <w:rPr>
                <w:rFonts w:ascii="MS UI Gothic" w:eastAsia="MS UI Gothic" w:hAnsi="MS UI Gothic"/>
              </w:rPr>
            </w:pPr>
            <w:r>
              <w:rPr>
                <w:rFonts w:ascii="MS UI Gothic" w:eastAsia="MS UI Gothic" w:hAnsi="MS UI Gothic" w:hint="eastAsia"/>
              </w:rPr>
              <w:t>製剤</w:t>
            </w:r>
            <w:r w:rsidR="008C1244" w:rsidRPr="00635ACA">
              <w:rPr>
                <w:rFonts w:ascii="MS UI Gothic" w:eastAsia="MS UI Gothic" w:hAnsi="MS UI Gothic" w:hint="eastAsia"/>
              </w:rPr>
              <w:t>の性状</w:t>
            </w:r>
          </w:p>
        </w:tc>
        <w:tc>
          <w:tcPr>
            <w:tcW w:w="4136" w:type="dxa"/>
            <w:gridSpan w:val="2"/>
            <w:tcBorders>
              <w:left w:val="double" w:sz="4" w:space="0" w:color="auto"/>
              <w:bottom w:val="single" w:sz="4" w:space="0" w:color="auto"/>
            </w:tcBorders>
          </w:tcPr>
          <w:p w:rsidR="00127EA9" w:rsidRDefault="00B824CB" w:rsidP="00127EA9">
            <w:pPr>
              <w:widowControl/>
              <w:snapToGrid w:val="0"/>
              <w:jc w:val="left"/>
              <w:rPr>
                <w:rFonts w:ascii="ＭＳ Ｐ明朝" w:eastAsia="ＭＳ Ｐ明朝" w:hAnsi="ＭＳ Ｐ明朝"/>
                <w:szCs w:val="21"/>
              </w:rPr>
            </w:pPr>
            <w:r>
              <w:rPr>
                <w:rFonts w:ascii="ＭＳ Ｐ明朝" w:eastAsia="ＭＳ Ｐ明朝" w:hAnsi="ＭＳ Ｐ明朝"/>
                <w:noProof/>
                <w:szCs w:val="21"/>
              </w:rPr>
              <w:drawing>
                <wp:anchor distT="0" distB="0" distL="114300" distR="114300" simplePos="0" relativeHeight="251649536" behindDoc="1" locked="0" layoutInCell="1" allowOverlap="1">
                  <wp:simplePos x="0" y="0"/>
                  <wp:positionH relativeFrom="column">
                    <wp:posOffset>621665</wp:posOffset>
                  </wp:positionH>
                  <wp:positionV relativeFrom="paragraph">
                    <wp:posOffset>78105</wp:posOffset>
                  </wp:positionV>
                  <wp:extent cx="1352550" cy="901700"/>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ピタバOD1mg_φ7_0(KOG1)仮錠剤図.gif"/>
                          <pic:cNvPicPr/>
                        </pic:nvPicPr>
                        <pic:blipFill>
                          <a:blip r:embed="rId7">
                            <a:extLst>
                              <a:ext uri="{28A0092B-C50C-407E-A947-70E740481C1C}">
                                <a14:useLocalDpi xmlns:a14="http://schemas.microsoft.com/office/drawing/2010/main" val="0"/>
                              </a:ext>
                            </a:extLst>
                          </a:blip>
                          <a:stretch>
                            <a:fillRect/>
                          </a:stretch>
                        </pic:blipFill>
                        <pic:spPr>
                          <a:xfrm>
                            <a:off x="0" y="0"/>
                            <a:ext cx="1352550" cy="901700"/>
                          </a:xfrm>
                          <a:prstGeom prst="rect">
                            <a:avLst/>
                          </a:prstGeom>
                        </pic:spPr>
                      </pic:pic>
                    </a:graphicData>
                  </a:graphic>
                  <wp14:sizeRelH relativeFrom="margin">
                    <wp14:pctWidth>0</wp14:pctWidth>
                  </wp14:sizeRelH>
                  <wp14:sizeRelV relativeFrom="margin">
                    <wp14:pctHeight>0</wp14:pctHeight>
                  </wp14:sizeRelV>
                </wp:anchor>
              </w:drawing>
            </w:r>
          </w:p>
          <w:p w:rsidR="008C1244" w:rsidRPr="00F648E9" w:rsidRDefault="008C1244" w:rsidP="00127EA9">
            <w:pPr>
              <w:widowControl/>
              <w:snapToGrid w:val="0"/>
              <w:jc w:val="center"/>
              <w:rPr>
                <w:rFonts w:ascii="ＭＳ Ｐ明朝" w:eastAsia="ＭＳ Ｐ明朝" w:hAnsi="ＭＳ Ｐ明朝"/>
                <w:szCs w:val="21"/>
              </w:rPr>
            </w:pPr>
            <w:r>
              <w:rPr>
                <w:rFonts w:ascii="ＭＳ Ｐ明朝" w:eastAsia="ＭＳ Ｐ明朝" w:hAnsi="ＭＳ Ｐ明朝" w:hint="eastAsia"/>
                <w:szCs w:val="21"/>
              </w:rPr>
              <w:t>識別コード：K</w:t>
            </w:r>
            <w:r w:rsidR="00127EA9">
              <w:rPr>
                <w:rFonts w:ascii="ＭＳ Ｐ明朝" w:eastAsia="ＭＳ Ｐ明朝" w:hAnsi="ＭＳ Ｐ明朝" w:hint="eastAsia"/>
                <w:szCs w:val="21"/>
              </w:rPr>
              <w:t>O</w:t>
            </w:r>
            <w:r>
              <w:rPr>
                <w:rFonts w:ascii="ＭＳ Ｐ明朝" w:eastAsia="ＭＳ Ｐ明朝" w:hAnsi="ＭＳ Ｐ明朝" w:hint="eastAsia"/>
                <w:szCs w:val="21"/>
              </w:rPr>
              <w:t>G１</w:t>
            </w:r>
          </w:p>
        </w:tc>
        <w:tc>
          <w:tcPr>
            <w:tcW w:w="4326" w:type="dxa"/>
            <w:gridSpan w:val="2"/>
            <w:tcBorders>
              <w:top w:val="single" w:sz="2" w:space="0" w:color="auto"/>
              <w:bottom w:val="single" w:sz="4" w:space="0" w:color="auto"/>
              <w:right w:val="single" w:sz="12" w:space="0" w:color="auto"/>
            </w:tcBorders>
          </w:tcPr>
          <w:p w:rsidR="008C1244" w:rsidRPr="00F648E9" w:rsidRDefault="008C1244" w:rsidP="00FD7DA3">
            <w:pPr>
              <w:widowControl/>
              <w:snapToGrid w:val="0"/>
              <w:jc w:val="left"/>
              <w:rPr>
                <w:rFonts w:ascii="ＭＳ Ｐ明朝" w:eastAsia="ＭＳ Ｐ明朝" w:hAnsi="ＭＳ Ｐ明朝"/>
                <w:szCs w:val="21"/>
              </w:rPr>
            </w:pPr>
          </w:p>
        </w:tc>
      </w:tr>
      <w:tr w:rsidR="003937DB" w:rsidRPr="00EC59F5" w:rsidTr="00764916">
        <w:trPr>
          <w:cantSplit/>
          <w:trHeight w:val="248"/>
        </w:trPr>
        <w:tc>
          <w:tcPr>
            <w:tcW w:w="1461" w:type="dxa"/>
            <w:vMerge/>
            <w:tcBorders>
              <w:left w:val="single" w:sz="12" w:space="0" w:color="auto"/>
              <w:right w:val="double" w:sz="4" w:space="0" w:color="auto"/>
            </w:tcBorders>
            <w:vAlign w:val="center"/>
          </w:tcPr>
          <w:p w:rsidR="003937DB" w:rsidRPr="00635ACA" w:rsidRDefault="003937DB" w:rsidP="00D13E58">
            <w:pPr>
              <w:snapToGrid w:val="0"/>
              <w:jc w:val="center"/>
              <w:rPr>
                <w:rFonts w:ascii="MS UI Gothic" w:eastAsia="MS UI Gothic" w:hAnsi="MS UI Gothic"/>
              </w:rPr>
            </w:pPr>
          </w:p>
        </w:tc>
        <w:tc>
          <w:tcPr>
            <w:tcW w:w="8462" w:type="dxa"/>
            <w:gridSpan w:val="4"/>
            <w:tcBorders>
              <w:left w:val="double" w:sz="4" w:space="0" w:color="auto"/>
              <w:bottom w:val="single" w:sz="4" w:space="0" w:color="auto"/>
              <w:right w:val="single" w:sz="12" w:space="0" w:color="auto"/>
            </w:tcBorders>
          </w:tcPr>
          <w:p w:rsidR="003937DB" w:rsidRDefault="003937DB" w:rsidP="00127EA9">
            <w:pPr>
              <w:widowControl/>
              <w:snapToGrid w:val="0"/>
              <w:ind w:left="340" w:hangingChars="162" w:hanging="340"/>
              <w:jc w:val="center"/>
              <w:rPr>
                <w:rFonts w:ascii="ＭＳ Ｐ明朝" w:eastAsia="ＭＳ Ｐ明朝" w:hAnsi="ＭＳ Ｐ明朝"/>
                <w:szCs w:val="21"/>
              </w:rPr>
            </w:pPr>
            <w:r w:rsidRPr="00CC4739">
              <w:rPr>
                <w:rFonts w:ascii="ＭＳ Ｐ明朝" w:eastAsia="ＭＳ Ｐ明朝" w:hAnsi="ＭＳ Ｐ明朝" w:hint="eastAsia"/>
                <w:color w:val="000000" w:themeColor="text1"/>
                <w:szCs w:val="21"/>
              </w:rPr>
              <w:t>白色～帯黄白色、円形の素錠で淡黄色～濃黄色</w:t>
            </w:r>
            <w:r w:rsidR="009B4C34" w:rsidRPr="00CC4739">
              <w:rPr>
                <w:rFonts w:ascii="ＭＳ Ｐ明朝" w:eastAsia="ＭＳ Ｐ明朝" w:hAnsi="ＭＳ Ｐ明朝" w:hint="eastAsia"/>
                <w:color w:val="000000" w:themeColor="text1"/>
                <w:szCs w:val="21"/>
              </w:rPr>
              <w:t>の斑点がある</w:t>
            </w:r>
          </w:p>
        </w:tc>
      </w:tr>
      <w:tr w:rsidR="008C1244" w:rsidRPr="00EC59F5" w:rsidTr="00764916">
        <w:trPr>
          <w:cantSplit/>
          <w:trHeight w:val="248"/>
        </w:trPr>
        <w:tc>
          <w:tcPr>
            <w:tcW w:w="1461" w:type="dxa"/>
            <w:vMerge/>
            <w:tcBorders>
              <w:left w:val="single" w:sz="12" w:space="0" w:color="auto"/>
              <w:right w:val="double" w:sz="4" w:space="0" w:color="auto"/>
            </w:tcBorders>
            <w:vAlign w:val="center"/>
          </w:tcPr>
          <w:p w:rsidR="008C1244" w:rsidRPr="00635ACA" w:rsidRDefault="008C1244" w:rsidP="00D13E58">
            <w:pPr>
              <w:snapToGrid w:val="0"/>
              <w:jc w:val="center"/>
              <w:rPr>
                <w:rFonts w:ascii="MS UI Gothic" w:eastAsia="MS UI Gothic" w:hAnsi="MS UI Gothic"/>
              </w:rPr>
            </w:pPr>
          </w:p>
        </w:tc>
        <w:tc>
          <w:tcPr>
            <w:tcW w:w="8462" w:type="dxa"/>
            <w:gridSpan w:val="4"/>
            <w:tcBorders>
              <w:left w:val="double" w:sz="4" w:space="0" w:color="auto"/>
              <w:bottom w:val="single" w:sz="4" w:space="0" w:color="auto"/>
              <w:right w:val="single" w:sz="12" w:space="0" w:color="auto"/>
            </w:tcBorders>
          </w:tcPr>
          <w:p w:rsidR="008C1244" w:rsidRPr="00F648E9" w:rsidRDefault="008C1244" w:rsidP="00127EA9">
            <w:pPr>
              <w:widowControl/>
              <w:snapToGrid w:val="0"/>
              <w:ind w:left="340" w:hangingChars="162" w:hanging="340"/>
              <w:jc w:val="center"/>
              <w:rPr>
                <w:rFonts w:ascii="ＭＳ Ｐ明朝" w:eastAsia="ＭＳ Ｐ明朝" w:hAnsi="ＭＳ Ｐ明朝"/>
                <w:szCs w:val="21"/>
              </w:rPr>
            </w:pPr>
            <w:r>
              <w:rPr>
                <w:rFonts w:ascii="ＭＳ Ｐ明朝" w:eastAsia="ＭＳ Ｐ明朝" w:hAnsi="ＭＳ Ｐ明朝" w:hint="eastAsia"/>
                <w:szCs w:val="21"/>
              </w:rPr>
              <w:t>直径：</w:t>
            </w:r>
            <w:r w:rsidR="00127EA9">
              <w:rPr>
                <w:rFonts w:ascii="ＭＳ Ｐ明朝" w:eastAsia="ＭＳ Ｐ明朝" w:hAnsi="ＭＳ Ｐ明朝" w:hint="eastAsia"/>
                <w:szCs w:val="21"/>
              </w:rPr>
              <w:t>7</w:t>
            </w:r>
            <w:r>
              <w:rPr>
                <w:rFonts w:ascii="ＭＳ Ｐ明朝" w:eastAsia="ＭＳ Ｐ明朝" w:hAnsi="ＭＳ Ｐ明朝" w:hint="eastAsia"/>
                <w:szCs w:val="21"/>
              </w:rPr>
              <w:t>mm</w:t>
            </w:r>
          </w:p>
        </w:tc>
      </w:tr>
      <w:tr w:rsidR="008C1244" w:rsidRPr="00EC59F5" w:rsidTr="00764916">
        <w:trPr>
          <w:cantSplit/>
          <w:trHeight w:val="246"/>
        </w:trPr>
        <w:tc>
          <w:tcPr>
            <w:tcW w:w="1461" w:type="dxa"/>
            <w:vMerge/>
            <w:tcBorders>
              <w:left w:val="single" w:sz="12" w:space="0" w:color="auto"/>
              <w:right w:val="double" w:sz="4" w:space="0" w:color="auto"/>
            </w:tcBorders>
            <w:vAlign w:val="center"/>
          </w:tcPr>
          <w:p w:rsidR="008C1244" w:rsidRPr="00635ACA" w:rsidRDefault="008C1244" w:rsidP="00D13E58">
            <w:pPr>
              <w:snapToGrid w:val="0"/>
              <w:jc w:val="center"/>
              <w:rPr>
                <w:rFonts w:ascii="MS UI Gothic" w:eastAsia="MS UI Gothic" w:hAnsi="MS UI Gothic"/>
              </w:rPr>
            </w:pPr>
          </w:p>
        </w:tc>
        <w:tc>
          <w:tcPr>
            <w:tcW w:w="8462" w:type="dxa"/>
            <w:gridSpan w:val="4"/>
            <w:tcBorders>
              <w:left w:val="double" w:sz="4" w:space="0" w:color="auto"/>
              <w:bottom w:val="single" w:sz="4" w:space="0" w:color="auto"/>
              <w:right w:val="single" w:sz="12" w:space="0" w:color="auto"/>
            </w:tcBorders>
          </w:tcPr>
          <w:p w:rsidR="008C1244" w:rsidRPr="00F648E9" w:rsidRDefault="008C1244" w:rsidP="005368A6">
            <w:pPr>
              <w:widowControl/>
              <w:snapToGrid w:val="0"/>
              <w:ind w:left="340" w:hangingChars="162" w:hanging="340"/>
              <w:jc w:val="center"/>
              <w:rPr>
                <w:rFonts w:ascii="ＭＳ Ｐ明朝" w:eastAsia="ＭＳ Ｐ明朝" w:hAnsi="ＭＳ Ｐ明朝"/>
                <w:szCs w:val="21"/>
              </w:rPr>
            </w:pPr>
            <w:r>
              <w:rPr>
                <w:rFonts w:ascii="ＭＳ Ｐ明朝" w:eastAsia="ＭＳ Ｐ明朝" w:hAnsi="ＭＳ Ｐ明朝" w:hint="eastAsia"/>
                <w:szCs w:val="21"/>
              </w:rPr>
              <w:t>厚さ：</w:t>
            </w:r>
            <w:r w:rsidR="005368A6">
              <w:rPr>
                <w:rFonts w:ascii="ＭＳ Ｐ明朝" w:eastAsia="ＭＳ Ｐ明朝" w:hAnsi="ＭＳ Ｐ明朝" w:hint="eastAsia"/>
                <w:szCs w:val="21"/>
              </w:rPr>
              <w:t>3.4</w:t>
            </w:r>
            <w:r>
              <w:rPr>
                <w:rFonts w:ascii="ＭＳ Ｐ明朝" w:eastAsia="ＭＳ Ｐ明朝" w:hAnsi="ＭＳ Ｐ明朝" w:hint="eastAsia"/>
                <w:szCs w:val="21"/>
              </w:rPr>
              <w:t>mm</w:t>
            </w:r>
          </w:p>
        </w:tc>
      </w:tr>
      <w:tr w:rsidR="008C1244" w:rsidRPr="00EC59F5" w:rsidTr="00764916">
        <w:trPr>
          <w:cantSplit/>
          <w:trHeight w:val="246"/>
        </w:trPr>
        <w:tc>
          <w:tcPr>
            <w:tcW w:w="1461" w:type="dxa"/>
            <w:vMerge/>
            <w:tcBorders>
              <w:left w:val="single" w:sz="12" w:space="0" w:color="auto"/>
              <w:right w:val="double" w:sz="4" w:space="0" w:color="auto"/>
            </w:tcBorders>
            <w:vAlign w:val="center"/>
          </w:tcPr>
          <w:p w:rsidR="008C1244" w:rsidRPr="00635ACA" w:rsidRDefault="008C1244" w:rsidP="00D13E58">
            <w:pPr>
              <w:snapToGrid w:val="0"/>
              <w:jc w:val="center"/>
              <w:rPr>
                <w:rFonts w:ascii="MS UI Gothic" w:eastAsia="MS UI Gothic" w:hAnsi="MS UI Gothic"/>
              </w:rPr>
            </w:pPr>
          </w:p>
        </w:tc>
        <w:tc>
          <w:tcPr>
            <w:tcW w:w="8462" w:type="dxa"/>
            <w:gridSpan w:val="4"/>
            <w:tcBorders>
              <w:left w:val="double" w:sz="4" w:space="0" w:color="auto"/>
              <w:bottom w:val="single" w:sz="4" w:space="0" w:color="auto"/>
              <w:right w:val="single" w:sz="12" w:space="0" w:color="auto"/>
            </w:tcBorders>
          </w:tcPr>
          <w:p w:rsidR="008C1244" w:rsidRPr="00F648E9" w:rsidRDefault="008C1244" w:rsidP="005368A6">
            <w:pPr>
              <w:widowControl/>
              <w:snapToGrid w:val="0"/>
              <w:ind w:left="340" w:hangingChars="162" w:hanging="340"/>
              <w:jc w:val="center"/>
              <w:rPr>
                <w:rFonts w:ascii="ＭＳ Ｐ明朝" w:eastAsia="ＭＳ Ｐ明朝" w:hAnsi="ＭＳ Ｐ明朝"/>
                <w:szCs w:val="21"/>
              </w:rPr>
            </w:pPr>
            <w:r>
              <w:rPr>
                <w:rFonts w:ascii="ＭＳ Ｐ明朝" w:eastAsia="ＭＳ Ｐ明朝" w:hAnsi="ＭＳ Ｐ明朝" w:hint="eastAsia"/>
                <w:szCs w:val="21"/>
              </w:rPr>
              <w:t>重量：</w:t>
            </w:r>
            <w:r w:rsidR="005368A6">
              <w:rPr>
                <w:rFonts w:ascii="ＭＳ Ｐ明朝" w:eastAsia="ＭＳ Ｐ明朝" w:hAnsi="ＭＳ Ｐ明朝" w:hint="eastAsia"/>
                <w:szCs w:val="21"/>
              </w:rPr>
              <w:t>120</w:t>
            </w:r>
            <w:r>
              <w:rPr>
                <w:rFonts w:ascii="ＭＳ Ｐ明朝" w:eastAsia="ＭＳ Ｐ明朝" w:hAnsi="ＭＳ Ｐ明朝" w:hint="eastAsia"/>
                <w:szCs w:val="21"/>
              </w:rPr>
              <w:t>mg</w:t>
            </w:r>
          </w:p>
        </w:tc>
      </w:tr>
      <w:tr w:rsidR="00766470" w:rsidRPr="00EC59F5" w:rsidTr="00764916">
        <w:trPr>
          <w:cantSplit/>
          <w:trHeight w:val="420"/>
        </w:trPr>
        <w:tc>
          <w:tcPr>
            <w:tcW w:w="1461" w:type="dxa"/>
            <w:tcBorders>
              <w:left w:val="single" w:sz="12" w:space="0" w:color="auto"/>
              <w:bottom w:val="single" w:sz="4" w:space="0" w:color="auto"/>
              <w:right w:val="double" w:sz="4" w:space="0" w:color="auto"/>
            </w:tcBorders>
            <w:vAlign w:val="center"/>
          </w:tcPr>
          <w:p w:rsidR="00766470" w:rsidRPr="00E404F4" w:rsidRDefault="00766470" w:rsidP="00E41B9F">
            <w:pPr>
              <w:snapToGrid w:val="0"/>
              <w:jc w:val="center"/>
              <w:rPr>
                <w:rFonts w:ascii="MS UI Gothic" w:eastAsia="MS UI Gothic" w:hAnsi="MS UI Gothic"/>
              </w:rPr>
            </w:pPr>
            <w:r w:rsidRPr="00E404F4">
              <w:rPr>
                <w:rFonts w:ascii="MS UI Gothic" w:eastAsia="MS UI Gothic" w:hAnsi="MS UI Gothic" w:hint="eastAsia"/>
              </w:rPr>
              <w:lastRenderedPageBreak/>
              <w:t>生物学的</w:t>
            </w:r>
          </w:p>
          <w:p w:rsidR="00766470" w:rsidRPr="00E404F4" w:rsidRDefault="00766470" w:rsidP="00E41B9F">
            <w:pPr>
              <w:jc w:val="center"/>
              <w:rPr>
                <w:rFonts w:ascii="MS UI Gothic" w:eastAsia="MS UI Gothic" w:hAnsi="MS UI Gothic"/>
              </w:rPr>
            </w:pPr>
            <w:r w:rsidRPr="00E404F4">
              <w:rPr>
                <w:rFonts w:ascii="MS UI Gothic" w:eastAsia="MS UI Gothic" w:hAnsi="MS UI Gothic" w:hint="eastAsia"/>
              </w:rPr>
              <w:t>同等性</w:t>
            </w:r>
          </w:p>
        </w:tc>
        <w:tc>
          <w:tcPr>
            <w:tcW w:w="8462" w:type="dxa"/>
            <w:gridSpan w:val="4"/>
            <w:tcBorders>
              <w:top w:val="single" w:sz="4" w:space="0" w:color="auto"/>
              <w:left w:val="double" w:sz="4" w:space="0" w:color="auto"/>
              <w:bottom w:val="single" w:sz="4" w:space="0" w:color="auto"/>
              <w:right w:val="single" w:sz="12" w:space="0" w:color="auto"/>
            </w:tcBorders>
          </w:tcPr>
          <w:p w:rsidR="004D5B5E" w:rsidRDefault="005368A6" w:rsidP="005368A6">
            <w:pPr>
              <w:jc w:val="left"/>
              <w:rPr>
                <w:szCs w:val="21"/>
              </w:rPr>
            </w:pPr>
            <w:r>
              <w:rPr>
                <w:rFonts w:hint="eastAsia"/>
                <w:szCs w:val="21"/>
              </w:rPr>
              <w:t>ピタバスタチンカルシウム</w:t>
            </w:r>
            <w:r>
              <w:rPr>
                <w:rFonts w:hint="eastAsia"/>
                <w:szCs w:val="21"/>
              </w:rPr>
              <w:t>OD</w:t>
            </w:r>
            <w:r>
              <w:rPr>
                <w:rFonts w:hint="eastAsia"/>
                <w:szCs w:val="21"/>
              </w:rPr>
              <w:t>錠</w:t>
            </w:r>
            <w:r>
              <w:rPr>
                <w:rFonts w:hint="eastAsia"/>
                <w:szCs w:val="21"/>
              </w:rPr>
              <w:t>1mg</w:t>
            </w:r>
            <w:r>
              <w:rPr>
                <w:rFonts w:hint="eastAsia"/>
                <w:szCs w:val="21"/>
              </w:rPr>
              <w:t>「</w:t>
            </w:r>
            <w:r>
              <w:rPr>
                <w:rFonts w:hint="eastAsia"/>
                <w:szCs w:val="21"/>
              </w:rPr>
              <w:t>KOG</w:t>
            </w:r>
            <w:r>
              <w:rPr>
                <w:rFonts w:hint="eastAsia"/>
                <w:szCs w:val="21"/>
              </w:rPr>
              <w:t>」及び標準製剤（普通錠）、各</w:t>
            </w:r>
            <w:r>
              <w:rPr>
                <w:rFonts w:hint="eastAsia"/>
                <w:szCs w:val="21"/>
              </w:rPr>
              <w:t>1</w:t>
            </w:r>
            <w:r>
              <w:rPr>
                <w:rFonts w:hint="eastAsia"/>
                <w:szCs w:val="21"/>
              </w:rPr>
              <w:t>錠をクロスオーバー法により健康成人</w:t>
            </w:r>
            <w:r w:rsidR="007D2A0E" w:rsidRPr="00CC4739">
              <w:rPr>
                <w:rFonts w:hint="eastAsia"/>
                <w:color w:val="000000" w:themeColor="text1"/>
                <w:szCs w:val="21"/>
              </w:rPr>
              <w:t>男性</w:t>
            </w:r>
            <w:r>
              <w:rPr>
                <w:rFonts w:hint="eastAsia"/>
                <w:szCs w:val="21"/>
              </w:rPr>
              <w:t>に絶食後経口投与したとき、ピタバスタチンカルシウム</w:t>
            </w:r>
            <w:r>
              <w:rPr>
                <w:rFonts w:hint="eastAsia"/>
                <w:szCs w:val="21"/>
              </w:rPr>
              <w:t>OD</w:t>
            </w:r>
            <w:r>
              <w:rPr>
                <w:rFonts w:hint="eastAsia"/>
                <w:szCs w:val="21"/>
              </w:rPr>
              <w:t>錠</w:t>
            </w:r>
            <w:r>
              <w:rPr>
                <w:rFonts w:hint="eastAsia"/>
                <w:szCs w:val="21"/>
              </w:rPr>
              <w:t>1mg</w:t>
            </w:r>
            <w:r>
              <w:rPr>
                <w:rFonts w:hint="eastAsia"/>
                <w:szCs w:val="21"/>
              </w:rPr>
              <w:t>「</w:t>
            </w:r>
            <w:r>
              <w:rPr>
                <w:rFonts w:hint="eastAsia"/>
                <w:szCs w:val="21"/>
              </w:rPr>
              <w:t>KOG</w:t>
            </w:r>
            <w:r>
              <w:rPr>
                <w:rFonts w:hint="eastAsia"/>
                <w:szCs w:val="21"/>
              </w:rPr>
              <w:t>」は、水なし投与、水あり投与ともに標準製剤と生物学的に同等であることが確認された。</w:t>
            </w:r>
          </w:p>
          <w:p w:rsidR="00041FD7" w:rsidRPr="00CC4739" w:rsidRDefault="00041FD7" w:rsidP="00041FD7">
            <w:pPr>
              <w:jc w:val="center"/>
              <w:rPr>
                <w:rFonts w:asciiTheme="majorEastAsia" w:eastAsiaTheme="majorEastAsia" w:hAnsiTheme="majorEastAsia"/>
                <w:color w:val="000000" w:themeColor="text1"/>
                <w:szCs w:val="21"/>
              </w:rPr>
            </w:pPr>
            <w:r w:rsidRPr="00CC4739">
              <w:rPr>
                <w:rFonts w:asciiTheme="majorEastAsia" w:eastAsiaTheme="majorEastAsia" w:hAnsiTheme="majorEastAsia" w:hint="eastAsia"/>
                <w:color w:val="000000" w:themeColor="text1"/>
                <w:szCs w:val="21"/>
              </w:rPr>
              <w:t>ピタバスタチンカルシウムOD錠「KOG</w:t>
            </w:r>
            <w:r w:rsidR="007D2A0E" w:rsidRPr="00CC4739">
              <w:rPr>
                <w:rFonts w:asciiTheme="majorEastAsia" w:eastAsiaTheme="majorEastAsia" w:hAnsiTheme="majorEastAsia" w:hint="eastAsia"/>
                <w:color w:val="000000" w:themeColor="text1"/>
                <w:szCs w:val="21"/>
              </w:rPr>
              <w:t>」及び標準製剤（普通錠）</w:t>
            </w:r>
          </w:p>
          <w:p w:rsidR="002725C5" w:rsidRPr="00041FD7" w:rsidRDefault="007D2A0E" w:rsidP="00041FD7">
            <w:pPr>
              <w:jc w:val="center"/>
              <w:rPr>
                <w:rFonts w:asciiTheme="majorEastAsia" w:eastAsiaTheme="majorEastAsia" w:hAnsiTheme="majorEastAsia"/>
                <w:szCs w:val="21"/>
              </w:rPr>
            </w:pPr>
            <w:r w:rsidRPr="00CC4739">
              <w:rPr>
                <w:rFonts w:asciiTheme="majorEastAsia" w:eastAsiaTheme="majorEastAsia" w:hAnsiTheme="majorEastAsia" w:hint="eastAsia"/>
                <w:color w:val="000000" w:themeColor="text1"/>
                <w:szCs w:val="21"/>
              </w:rPr>
              <w:t>単回経口投与時の</w:t>
            </w:r>
            <w:r w:rsidR="00041FD7" w:rsidRPr="00CC4739">
              <w:rPr>
                <w:rFonts w:asciiTheme="majorEastAsia" w:eastAsiaTheme="majorEastAsia" w:hAnsiTheme="majorEastAsia" w:hint="eastAsia"/>
                <w:color w:val="000000" w:themeColor="text1"/>
                <w:szCs w:val="21"/>
              </w:rPr>
              <w:t>薬物動態パラメータ</w:t>
            </w:r>
            <w:r w:rsidRPr="00CC4739">
              <w:rPr>
                <w:rFonts w:asciiTheme="majorEastAsia" w:eastAsiaTheme="majorEastAsia" w:hAnsiTheme="majorEastAsia" w:hint="eastAsia"/>
                <w:color w:val="000000" w:themeColor="text1"/>
                <w:szCs w:val="21"/>
              </w:rPr>
              <w:t>（健康成人男性）</w:t>
            </w:r>
          </w:p>
          <w:tbl>
            <w:tblPr>
              <w:tblpPr w:leftFromText="142" w:rightFromText="142" w:vertAnchor="page" w:horzAnchor="margin" w:tblpXSpec="center" w:tblpY="2236"/>
              <w:tblOverlap w:val="never"/>
              <w:tblW w:w="7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16"/>
              <w:gridCol w:w="1218"/>
              <w:gridCol w:w="1847"/>
              <w:gridCol w:w="1847"/>
              <w:gridCol w:w="1848"/>
            </w:tblGrid>
            <w:tr w:rsidR="00920893" w:rsidTr="00041FD7">
              <w:trPr>
                <w:trHeight w:val="54"/>
                <w:jc w:val="center"/>
              </w:trPr>
              <w:tc>
                <w:tcPr>
                  <w:tcW w:w="2434" w:type="dxa"/>
                  <w:gridSpan w:val="2"/>
                  <w:vMerge w:val="restart"/>
                  <w:tcBorders>
                    <w:top w:val="single" w:sz="4" w:space="0" w:color="auto"/>
                    <w:left w:val="single" w:sz="4" w:space="0" w:color="auto"/>
                    <w:bottom w:val="single" w:sz="4" w:space="0" w:color="auto"/>
                    <w:right w:val="single" w:sz="4" w:space="0" w:color="auto"/>
                  </w:tcBorders>
                  <w:vAlign w:val="center"/>
                </w:tcPr>
                <w:p w:rsidR="00920893" w:rsidRDefault="00920893" w:rsidP="00920893">
                  <w:pPr>
                    <w:widowControl/>
                    <w:jc w:val="left"/>
                    <w:rPr>
                      <w:kern w:val="0"/>
                      <w:sz w:val="20"/>
                      <w:szCs w:val="20"/>
                    </w:rPr>
                  </w:pPr>
                </w:p>
              </w:tc>
              <w:tc>
                <w:tcPr>
                  <w:tcW w:w="3694" w:type="dxa"/>
                  <w:gridSpan w:val="2"/>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tcPr>
                <w:p w:rsidR="00920893" w:rsidRDefault="00920893" w:rsidP="00920893">
                  <w:pPr>
                    <w:pStyle w:val="IF10pt"/>
                  </w:pPr>
                  <w:r>
                    <w:rPr>
                      <w:rFonts w:hint="eastAsia"/>
                    </w:rPr>
                    <w:t>評価パラメータ</w:t>
                  </w:r>
                </w:p>
              </w:tc>
              <w:tc>
                <w:tcPr>
                  <w:tcW w:w="1848" w:type="dxa"/>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tcPr>
                <w:p w:rsidR="00920893" w:rsidRDefault="00920893" w:rsidP="00920893">
                  <w:pPr>
                    <w:pStyle w:val="IF10pt"/>
                  </w:pPr>
                  <w:r>
                    <w:rPr>
                      <w:rFonts w:hint="eastAsia"/>
                    </w:rPr>
                    <w:t>参考パラメータ</w:t>
                  </w:r>
                </w:p>
              </w:tc>
            </w:tr>
            <w:tr w:rsidR="00920893" w:rsidTr="00041FD7">
              <w:trPr>
                <w:trHeight w:val="54"/>
                <w:jc w:val="center"/>
              </w:trPr>
              <w:tc>
                <w:tcPr>
                  <w:tcW w:w="2434" w:type="dxa"/>
                  <w:gridSpan w:val="2"/>
                  <w:vMerge/>
                  <w:tcBorders>
                    <w:top w:val="single" w:sz="4" w:space="0" w:color="auto"/>
                    <w:left w:val="single" w:sz="4" w:space="0" w:color="auto"/>
                    <w:bottom w:val="single" w:sz="4" w:space="0" w:color="auto"/>
                    <w:right w:val="single" w:sz="4" w:space="0" w:color="auto"/>
                  </w:tcBorders>
                  <w:vAlign w:val="center"/>
                  <w:hideMark/>
                </w:tcPr>
                <w:p w:rsidR="00920893" w:rsidRDefault="00920893" w:rsidP="00920893">
                  <w:pPr>
                    <w:widowControl/>
                    <w:jc w:val="left"/>
                    <w:rPr>
                      <w:kern w:val="0"/>
                      <w:sz w:val="20"/>
                      <w:szCs w:val="20"/>
                    </w:rPr>
                  </w:pPr>
                </w:p>
              </w:tc>
              <w:tc>
                <w:tcPr>
                  <w:tcW w:w="1847" w:type="dxa"/>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920893" w:rsidRDefault="00920893" w:rsidP="00920893">
                  <w:pPr>
                    <w:pStyle w:val="IF10pt"/>
                    <w:rPr>
                      <w:vertAlign w:val="superscript"/>
                    </w:rPr>
                  </w:pPr>
                  <w:r>
                    <w:t>AUC</w:t>
                  </w:r>
                  <w:r>
                    <w:rPr>
                      <w:vertAlign w:val="subscript"/>
                    </w:rPr>
                    <w:t>0-t</w:t>
                  </w:r>
                  <w:r>
                    <w:rPr>
                      <w:rFonts w:hint="eastAsia"/>
                      <w:vertAlign w:val="superscript"/>
                    </w:rPr>
                    <w:t>注）</w:t>
                  </w:r>
                </w:p>
                <w:p w:rsidR="00920893" w:rsidRDefault="00920893" w:rsidP="00920893">
                  <w:pPr>
                    <w:pStyle w:val="IF10pt"/>
                  </w:pPr>
                  <w:r>
                    <w:rPr>
                      <w:rFonts w:hint="eastAsia"/>
                    </w:rPr>
                    <w:t>（</w:t>
                  </w:r>
                  <w:r>
                    <w:t>ng</w:t>
                  </w:r>
                  <w:r>
                    <w:rPr>
                      <w:rFonts w:hint="eastAsia"/>
                    </w:rPr>
                    <w:t>･</w:t>
                  </w:r>
                  <w:r>
                    <w:t>hr/mL</w:t>
                  </w:r>
                  <w:r>
                    <w:rPr>
                      <w:rFonts w:hint="eastAsia"/>
                    </w:rPr>
                    <w:t>）</w:t>
                  </w:r>
                </w:p>
              </w:tc>
              <w:tc>
                <w:tcPr>
                  <w:tcW w:w="1847" w:type="dxa"/>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920893" w:rsidRDefault="00920893" w:rsidP="00920893">
                  <w:pPr>
                    <w:pStyle w:val="IF10pt"/>
                    <w:rPr>
                      <w:vertAlign w:val="subscript"/>
                    </w:rPr>
                  </w:pPr>
                  <w:r>
                    <w:t>C</w:t>
                  </w:r>
                  <w:r>
                    <w:rPr>
                      <w:vertAlign w:val="subscript"/>
                    </w:rPr>
                    <w:t>max</w:t>
                  </w:r>
                </w:p>
                <w:p w:rsidR="00920893" w:rsidRDefault="00920893" w:rsidP="00920893">
                  <w:pPr>
                    <w:pStyle w:val="IF10pt"/>
                  </w:pPr>
                  <w:r>
                    <w:rPr>
                      <w:rFonts w:hint="eastAsia"/>
                    </w:rPr>
                    <w:t>（</w:t>
                  </w:r>
                  <w:r>
                    <w:t>ng/mL</w:t>
                  </w:r>
                  <w:r>
                    <w:rPr>
                      <w:rFonts w:hint="eastAsia"/>
                    </w:rPr>
                    <w:t>）</w:t>
                  </w:r>
                </w:p>
              </w:tc>
              <w:tc>
                <w:tcPr>
                  <w:tcW w:w="1848" w:type="dxa"/>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920893" w:rsidRDefault="00920893" w:rsidP="00920893">
                  <w:pPr>
                    <w:pStyle w:val="IF10pt"/>
                  </w:pPr>
                  <w:r>
                    <w:rPr>
                      <w:rFonts w:hint="eastAsia"/>
                    </w:rPr>
                    <w:t>T</w:t>
                  </w:r>
                  <w:r>
                    <w:rPr>
                      <w:vertAlign w:val="subscript"/>
                    </w:rPr>
                    <w:t>max</w:t>
                  </w:r>
                  <w:r>
                    <w:rPr>
                      <w:rFonts w:hint="eastAsia"/>
                    </w:rPr>
                    <w:t>（</w:t>
                  </w:r>
                  <w:r>
                    <w:t>hr</w:t>
                  </w:r>
                  <w:r>
                    <w:rPr>
                      <w:rFonts w:hint="eastAsia"/>
                    </w:rPr>
                    <w:t>）</w:t>
                  </w:r>
                </w:p>
              </w:tc>
            </w:tr>
            <w:tr w:rsidR="00920893" w:rsidTr="00041FD7">
              <w:trPr>
                <w:trHeight w:val="468"/>
                <w:jc w:val="center"/>
              </w:trPr>
              <w:tc>
                <w:tcPr>
                  <w:tcW w:w="1216" w:type="dxa"/>
                  <w:vMerge w:val="restart"/>
                  <w:tcBorders>
                    <w:top w:val="single" w:sz="4" w:space="0" w:color="auto"/>
                    <w:left w:val="single" w:sz="4" w:space="0" w:color="auto"/>
                    <w:right w:val="single" w:sz="4" w:space="0" w:color="auto"/>
                  </w:tcBorders>
                  <w:tcMar>
                    <w:top w:w="28" w:type="dxa"/>
                    <w:left w:w="40" w:type="dxa"/>
                    <w:bottom w:w="28" w:type="dxa"/>
                    <w:right w:w="40" w:type="dxa"/>
                  </w:tcMar>
                  <w:hideMark/>
                </w:tcPr>
                <w:p w:rsidR="00920893" w:rsidRDefault="00920893" w:rsidP="00920893">
                  <w:pPr>
                    <w:pStyle w:val="IF10pt"/>
                  </w:pPr>
                  <w:r>
                    <w:rPr>
                      <w:rFonts w:hint="eastAsia"/>
                    </w:rPr>
                    <w:t>ピタバスタチンカルシウム</w:t>
                  </w:r>
                  <w:r>
                    <w:t>OD</w:t>
                  </w:r>
                  <w:r>
                    <w:rPr>
                      <w:rFonts w:hint="eastAsia"/>
                    </w:rPr>
                    <w:t>錠</w:t>
                  </w:r>
                  <w:r>
                    <w:t>1mg</w:t>
                  </w:r>
                  <w:r>
                    <w:rPr>
                      <w:rFonts w:hint="eastAsia"/>
                    </w:rPr>
                    <w:t>「</w:t>
                  </w:r>
                  <w:r>
                    <w:t>KOG</w:t>
                  </w:r>
                  <w:r>
                    <w:rPr>
                      <w:rFonts w:hint="eastAsia"/>
                    </w:rPr>
                    <w:t>」</w:t>
                  </w:r>
                </w:p>
              </w:tc>
              <w:tc>
                <w:tcPr>
                  <w:tcW w:w="1218" w:type="dxa"/>
                  <w:tcBorders>
                    <w:top w:val="single" w:sz="4" w:space="0" w:color="auto"/>
                    <w:left w:val="single" w:sz="4" w:space="0" w:color="auto"/>
                    <w:bottom w:val="single" w:sz="4" w:space="0" w:color="auto"/>
                    <w:right w:val="single" w:sz="4" w:space="0" w:color="auto"/>
                  </w:tcBorders>
                  <w:vAlign w:val="center"/>
                </w:tcPr>
                <w:p w:rsidR="00920893" w:rsidRDefault="00920893" w:rsidP="00920893">
                  <w:pPr>
                    <w:pStyle w:val="IF10pt"/>
                  </w:pPr>
                  <w:r>
                    <w:rPr>
                      <w:rFonts w:hint="eastAsia"/>
                    </w:rPr>
                    <w:t>水なし投与</w:t>
                  </w:r>
                </w:p>
              </w:tc>
              <w:tc>
                <w:tcPr>
                  <w:tcW w:w="1847" w:type="dxa"/>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920893" w:rsidRDefault="00920893" w:rsidP="00920893">
                  <w:pPr>
                    <w:pStyle w:val="IF10pt"/>
                  </w:pPr>
                  <w:r>
                    <w:t>42.6</w:t>
                  </w:r>
                  <w:r>
                    <w:rPr>
                      <w:rFonts w:hint="eastAsia"/>
                    </w:rPr>
                    <w:t>±</w:t>
                  </w:r>
                  <w:r>
                    <w:t>16.2</w:t>
                  </w:r>
                </w:p>
              </w:tc>
              <w:tc>
                <w:tcPr>
                  <w:tcW w:w="1847" w:type="dxa"/>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920893" w:rsidRDefault="00920893" w:rsidP="00920893">
                  <w:pPr>
                    <w:pStyle w:val="IF10pt"/>
                  </w:pPr>
                  <w:r>
                    <w:t>19.22</w:t>
                  </w:r>
                  <w:r>
                    <w:rPr>
                      <w:rFonts w:hint="eastAsia"/>
                    </w:rPr>
                    <w:t>±</w:t>
                  </w:r>
                  <w:r>
                    <w:t xml:space="preserve"> 7.63</w:t>
                  </w:r>
                </w:p>
              </w:tc>
              <w:tc>
                <w:tcPr>
                  <w:tcW w:w="1848" w:type="dxa"/>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920893" w:rsidRDefault="00920893" w:rsidP="00920893">
                  <w:pPr>
                    <w:pStyle w:val="IF10pt"/>
                  </w:pPr>
                  <w:r>
                    <w:t>1.01</w:t>
                  </w:r>
                  <w:r>
                    <w:rPr>
                      <w:rFonts w:hint="eastAsia"/>
                    </w:rPr>
                    <w:t>±</w:t>
                  </w:r>
                  <w:r>
                    <w:t>0.36</w:t>
                  </w:r>
                </w:p>
              </w:tc>
            </w:tr>
            <w:tr w:rsidR="00920893" w:rsidTr="00041FD7">
              <w:trPr>
                <w:trHeight w:val="468"/>
                <w:jc w:val="center"/>
              </w:trPr>
              <w:tc>
                <w:tcPr>
                  <w:tcW w:w="1216" w:type="dxa"/>
                  <w:vMerge/>
                  <w:tcBorders>
                    <w:left w:val="single" w:sz="4" w:space="0" w:color="auto"/>
                    <w:bottom w:val="single" w:sz="4" w:space="0" w:color="auto"/>
                    <w:right w:val="single" w:sz="4" w:space="0" w:color="auto"/>
                  </w:tcBorders>
                  <w:tcMar>
                    <w:top w:w="28" w:type="dxa"/>
                    <w:left w:w="40" w:type="dxa"/>
                    <w:bottom w:w="28" w:type="dxa"/>
                    <w:right w:w="40" w:type="dxa"/>
                  </w:tcMar>
                </w:tcPr>
                <w:p w:rsidR="00920893" w:rsidRDefault="00920893" w:rsidP="00920893">
                  <w:pPr>
                    <w:pStyle w:val="IF10pt"/>
                  </w:pPr>
                </w:p>
              </w:tc>
              <w:tc>
                <w:tcPr>
                  <w:tcW w:w="1218" w:type="dxa"/>
                  <w:tcBorders>
                    <w:top w:val="single" w:sz="4" w:space="0" w:color="auto"/>
                    <w:left w:val="single" w:sz="4" w:space="0" w:color="auto"/>
                    <w:bottom w:val="single" w:sz="4" w:space="0" w:color="auto"/>
                    <w:right w:val="single" w:sz="4" w:space="0" w:color="auto"/>
                  </w:tcBorders>
                  <w:vAlign w:val="center"/>
                </w:tcPr>
                <w:p w:rsidR="00920893" w:rsidRDefault="00920893" w:rsidP="00920893">
                  <w:pPr>
                    <w:pStyle w:val="IF10pt"/>
                  </w:pPr>
                  <w:r>
                    <w:rPr>
                      <w:rFonts w:hint="eastAsia"/>
                    </w:rPr>
                    <w:t>水あり投与</w:t>
                  </w:r>
                </w:p>
              </w:tc>
              <w:tc>
                <w:tcPr>
                  <w:tcW w:w="1847" w:type="dxa"/>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920893" w:rsidRDefault="00920893" w:rsidP="00920893">
                  <w:pPr>
                    <w:pStyle w:val="IF10pt"/>
                  </w:pPr>
                  <w:r>
                    <w:t>42.1</w:t>
                  </w:r>
                  <w:r>
                    <w:rPr>
                      <w:rFonts w:hint="eastAsia"/>
                    </w:rPr>
                    <w:t>±</w:t>
                  </w:r>
                  <w:r>
                    <w:t>16.4</w:t>
                  </w:r>
                </w:p>
              </w:tc>
              <w:tc>
                <w:tcPr>
                  <w:tcW w:w="1847" w:type="dxa"/>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920893" w:rsidRDefault="00920893" w:rsidP="00920893">
                  <w:pPr>
                    <w:pStyle w:val="IF10pt"/>
                  </w:pPr>
                  <w:r>
                    <w:t>20.78</w:t>
                  </w:r>
                  <w:r>
                    <w:rPr>
                      <w:rFonts w:hint="eastAsia"/>
                    </w:rPr>
                    <w:t>±</w:t>
                  </w:r>
                  <w:r>
                    <w:t>10.59</w:t>
                  </w:r>
                </w:p>
              </w:tc>
              <w:tc>
                <w:tcPr>
                  <w:tcW w:w="1848" w:type="dxa"/>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920893" w:rsidRDefault="00920893" w:rsidP="00920893">
                  <w:pPr>
                    <w:pStyle w:val="IF10pt"/>
                  </w:pPr>
                  <w:r>
                    <w:t>0.78</w:t>
                  </w:r>
                  <w:r>
                    <w:rPr>
                      <w:rFonts w:hint="eastAsia"/>
                    </w:rPr>
                    <w:t>±</w:t>
                  </w:r>
                  <w:r>
                    <w:t>0.32</w:t>
                  </w:r>
                </w:p>
              </w:tc>
            </w:tr>
            <w:tr w:rsidR="00920893" w:rsidTr="00041FD7">
              <w:trPr>
                <w:trHeight w:val="54"/>
                <w:jc w:val="center"/>
              </w:trPr>
              <w:tc>
                <w:tcPr>
                  <w:tcW w:w="2434" w:type="dxa"/>
                  <w:gridSpan w:val="2"/>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7D2A0E" w:rsidRDefault="00920893" w:rsidP="00920893">
                  <w:pPr>
                    <w:pStyle w:val="IF10pt"/>
                  </w:pPr>
                  <w:r>
                    <w:rPr>
                      <w:rFonts w:hint="eastAsia"/>
                    </w:rPr>
                    <w:t>標準製剤</w:t>
                  </w:r>
                </w:p>
                <w:p w:rsidR="00920893" w:rsidRDefault="00920893" w:rsidP="00920893">
                  <w:pPr>
                    <w:pStyle w:val="IF10pt"/>
                  </w:pPr>
                  <w:r w:rsidRPr="00CC4739">
                    <w:rPr>
                      <w:rFonts w:hint="eastAsia"/>
                      <w:color w:val="000000" w:themeColor="text1"/>
                    </w:rPr>
                    <w:t>（普通錠、</w:t>
                  </w:r>
                  <w:r w:rsidRPr="00CC4739">
                    <w:rPr>
                      <w:color w:val="000000" w:themeColor="text1"/>
                    </w:rPr>
                    <w:t>1mg</w:t>
                  </w:r>
                  <w:r w:rsidRPr="00CC4739">
                    <w:rPr>
                      <w:rFonts w:hint="eastAsia"/>
                      <w:color w:val="000000" w:themeColor="text1"/>
                    </w:rPr>
                    <w:t>）</w:t>
                  </w:r>
                </w:p>
              </w:tc>
              <w:tc>
                <w:tcPr>
                  <w:tcW w:w="1847" w:type="dxa"/>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920893" w:rsidRDefault="00920893" w:rsidP="00920893">
                  <w:pPr>
                    <w:pStyle w:val="IF10pt"/>
                  </w:pPr>
                  <w:r>
                    <w:t>40.0</w:t>
                  </w:r>
                  <w:r>
                    <w:rPr>
                      <w:rFonts w:hint="eastAsia"/>
                    </w:rPr>
                    <w:t>±</w:t>
                  </w:r>
                  <w:r>
                    <w:t>14.6</w:t>
                  </w:r>
                </w:p>
              </w:tc>
              <w:tc>
                <w:tcPr>
                  <w:tcW w:w="1847" w:type="dxa"/>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920893" w:rsidRDefault="00920893" w:rsidP="00920893">
                  <w:pPr>
                    <w:pStyle w:val="IF10pt"/>
                  </w:pPr>
                  <w:r>
                    <w:t>21.92</w:t>
                  </w:r>
                  <w:r>
                    <w:rPr>
                      <w:rFonts w:hint="eastAsia"/>
                    </w:rPr>
                    <w:t>±</w:t>
                  </w:r>
                  <w:r>
                    <w:t>10.68</w:t>
                  </w:r>
                </w:p>
              </w:tc>
              <w:tc>
                <w:tcPr>
                  <w:tcW w:w="1848" w:type="dxa"/>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920893" w:rsidRDefault="00920893" w:rsidP="00920893">
                  <w:pPr>
                    <w:pStyle w:val="IF10pt"/>
                  </w:pPr>
                  <w:r>
                    <w:t>0.86</w:t>
                  </w:r>
                  <w:r>
                    <w:rPr>
                      <w:rFonts w:hint="eastAsia"/>
                    </w:rPr>
                    <w:t>±</w:t>
                  </w:r>
                  <w:r>
                    <w:t>0.40</w:t>
                  </w:r>
                </w:p>
              </w:tc>
            </w:tr>
          </w:tbl>
          <w:p w:rsidR="00041FD7" w:rsidRPr="00CC4739" w:rsidRDefault="00CC6347" w:rsidP="00CC6347">
            <w:pPr>
              <w:ind w:firstLineChars="100" w:firstLine="210"/>
              <w:jc w:val="left"/>
              <w:rPr>
                <w:rFonts w:asciiTheme="majorEastAsia" w:eastAsiaTheme="majorEastAsia" w:hAnsiTheme="majorEastAsia"/>
                <w:color w:val="000000" w:themeColor="text1"/>
                <w:szCs w:val="21"/>
              </w:rPr>
            </w:pPr>
            <w:r w:rsidRPr="00CC4739">
              <w:rPr>
                <w:rFonts w:asciiTheme="majorEastAsia" w:eastAsiaTheme="majorEastAsia" w:hAnsiTheme="majorEastAsia" w:hint="eastAsia"/>
                <w:color w:val="000000" w:themeColor="text1"/>
                <w:szCs w:val="21"/>
              </w:rPr>
              <w:t>注）最終観測時間までのAUC　平均値±標準偏差（n=30）</w:t>
            </w:r>
          </w:p>
          <w:p w:rsidR="00CC6347" w:rsidRDefault="00CC6347" w:rsidP="00041FD7">
            <w:pPr>
              <w:jc w:val="center"/>
              <w:rPr>
                <w:rFonts w:asciiTheme="majorEastAsia" w:eastAsiaTheme="majorEastAsia" w:hAnsiTheme="majorEastAsia"/>
                <w:szCs w:val="21"/>
              </w:rPr>
            </w:pPr>
          </w:p>
          <w:p w:rsidR="00041FD7" w:rsidRPr="00CC4739" w:rsidRDefault="007D2A0E" w:rsidP="00041FD7">
            <w:pPr>
              <w:jc w:val="center"/>
              <w:rPr>
                <w:rFonts w:asciiTheme="majorEastAsia" w:eastAsiaTheme="majorEastAsia" w:hAnsiTheme="majorEastAsia"/>
                <w:color w:val="000000" w:themeColor="text1"/>
                <w:szCs w:val="21"/>
              </w:rPr>
            </w:pPr>
            <w:r w:rsidRPr="00CC4739">
              <w:rPr>
                <w:rFonts w:asciiTheme="majorEastAsia" w:eastAsiaTheme="majorEastAsia" w:hAnsiTheme="majorEastAsia" w:hint="eastAsia"/>
                <w:color w:val="000000" w:themeColor="text1"/>
                <w:szCs w:val="21"/>
              </w:rPr>
              <w:t>ピタバスタチンカルシウムOD錠「KOG」及び標準製剤（普通錠）</w:t>
            </w:r>
          </w:p>
          <w:p w:rsidR="005368A6" w:rsidRPr="00CC4739" w:rsidRDefault="00041FD7" w:rsidP="007D2A0E">
            <w:pPr>
              <w:jc w:val="center"/>
              <w:rPr>
                <w:rFonts w:asciiTheme="majorEastAsia" w:eastAsiaTheme="majorEastAsia" w:hAnsiTheme="majorEastAsia"/>
                <w:color w:val="000000" w:themeColor="text1"/>
                <w:szCs w:val="21"/>
              </w:rPr>
            </w:pPr>
            <w:r w:rsidRPr="00CC4739">
              <w:rPr>
                <w:rFonts w:asciiTheme="majorEastAsia" w:eastAsiaTheme="majorEastAsia" w:hAnsiTheme="majorEastAsia" w:hint="eastAsia"/>
                <w:color w:val="000000" w:themeColor="text1"/>
                <w:szCs w:val="21"/>
              </w:rPr>
              <w:t>単回</w:t>
            </w:r>
            <w:r w:rsidR="007D2A0E" w:rsidRPr="00CC4739">
              <w:rPr>
                <w:rFonts w:asciiTheme="majorEastAsia" w:eastAsiaTheme="majorEastAsia" w:hAnsiTheme="majorEastAsia" w:hint="eastAsia"/>
                <w:color w:val="000000" w:themeColor="text1"/>
                <w:szCs w:val="21"/>
              </w:rPr>
              <w:t>経口投与時の血漿中濃度推移（健康成人男性）</w:t>
            </w:r>
          </w:p>
          <w:p w:rsidR="00350BE7" w:rsidRDefault="00350BE7" w:rsidP="007D2A0E">
            <w:pPr>
              <w:jc w:val="center"/>
              <w:rPr>
                <w:rFonts w:asciiTheme="majorEastAsia" w:eastAsiaTheme="majorEastAsia" w:hAnsiTheme="majorEastAsia"/>
                <w:color w:val="FF0000"/>
                <w:szCs w:val="21"/>
              </w:rPr>
            </w:pPr>
            <w:r>
              <w:rPr>
                <w:noProof/>
              </w:rPr>
              <w:drawing>
                <wp:inline distT="0" distB="0" distL="0" distR="0" wp14:anchorId="34FEDCEA" wp14:editId="287FFA7A">
                  <wp:extent cx="3943350" cy="23252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14271" cy="2367079"/>
                          </a:xfrm>
                          <a:prstGeom prst="rect">
                            <a:avLst/>
                          </a:prstGeom>
                        </pic:spPr>
                      </pic:pic>
                    </a:graphicData>
                  </a:graphic>
                </wp:inline>
              </w:drawing>
            </w:r>
          </w:p>
          <w:p w:rsidR="00350BE7" w:rsidRPr="007D2A0E" w:rsidRDefault="00350BE7" w:rsidP="00350BE7">
            <w:pPr>
              <w:jc w:val="center"/>
              <w:rPr>
                <w:rFonts w:asciiTheme="majorEastAsia" w:eastAsiaTheme="majorEastAsia" w:hAnsiTheme="majorEastAsia"/>
                <w:szCs w:val="21"/>
              </w:rPr>
            </w:pPr>
          </w:p>
        </w:tc>
      </w:tr>
      <w:tr w:rsidR="00766470" w:rsidRPr="00EC59F5" w:rsidTr="00764916">
        <w:trPr>
          <w:cantSplit/>
          <w:trHeight w:val="1408"/>
        </w:trPr>
        <w:tc>
          <w:tcPr>
            <w:tcW w:w="1461" w:type="dxa"/>
            <w:tcBorders>
              <w:top w:val="single" w:sz="4" w:space="0" w:color="auto"/>
              <w:left w:val="single" w:sz="12" w:space="0" w:color="auto"/>
              <w:bottom w:val="single" w:sz="12" w:space="0" w:color="auto"/>
              <w:right w:val="double" w:sz="4" w:space="0" w:color="auto"/>
            </w:tcBorders>
            <w:vAlign w:val="center"/>
          </w:tcPr>
          <w:p w:rsidR="00766470" w:rsidRPr="00E404F4" w:rsidRDefault="00766470">
            <w:pPr>
              <w:jc w:val="center"/>
              <w:rPr>
                <w:rFonts w:ascii="MS UI Gothic" w:eastAsia="MS UI Gothic" w:hAnsi="MS UI Gothic"/>
              </w:rPr>
            </w:pPr>
            <w:r w:rsidRPr="00E404F4">
              <w:rPr>
                <w:rFonts w:ascii="MS UI Gothic" w:eastAsia="MS UI Gothic" w:hAnsi="MS UI Gothic" w:hint="eastAsia"/>
              </w:rPr>
              <w:t>備考</w:t>
            </w:r>
          </w:p>
        </w:tc>
        <w:tc>
          <w:tcPr>
            <w:tcW w:w="8462" w:type="dxa"/>
            <w:gridSpan w:val="4"/>
            <w:tcBorders>
              <w:top w:val="single" w:sz="4" w:space="0" w:color="auto"/>
              <w:left w:val="double" w:sz="4" w:space="0" w:color="auto"/>
              <w:bottom w:val="single" w:sz="12" w:space="0" w:color="auto"/>
              <w:right w:val="single" w:sz="12" w:space="0" w:color="auto"/>
            </w:tcBorders>
          </w:tcPr>
          <w:p w:rsidR="00766470" w:rsidRPr="00EC59F5" w:rsidRDefault="00766470">
            <w:pPr>
              <w:snapToGrid w:val="0"/>
              <w:jc w:val="right"/>
              <w:rPr>
                <w:shd w:val="pct15" w:color="auto" w:fill="FFFFFF"/>
              </w:rPr>
            </w:pPr>
          </w:p>
        </w:tc>
      </w:tr>
    </w:tbl>
    <w:p w:rsidR="0022655D" w:rsidRDefault="0022655D" w:rsidP="00FF05FE">
      <w:pPr>
        <w:pStyle w:val="a3"/>
        <w:tabs>
          <w:tab w:val="clear" w:pos="4252"/>
          <w:tab w:val="clear" w:pos="8504"/>
        </w:tabs>
        <w:spacing w:line="120" w:lineRule="auto"/>
        <w:rPr>
          <w:shd w:val="pct15" w:color="auto" w:fill="FFFFFF"/>
        </w:rPr>
      </w:pPr>
    </w:p>
    <w:sectPr w:rsidR="0022655D" w:rsidSect="00DB5EB9">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D88" w:rsidRDefault="00361D88">
      <w:r>
        <w:separator/>
      </w:r>
    </w:p>
  </w:endnote>
  <w:endnote w:type="continuationSeparator" w:id="0">
    <w:p w:rsidR="00361D88" w:rsidRDefault="0036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D88" w:rsidRDefault="00361D88">
      <w:r>
        <w:separator/>
      </w:r>
    </w:p>
  </w:footnote>
  <w:footnote w:type="continuationSeparator" w:id="0">
    <w:p w:rsidR="00361D88" w:rsidRDefault="00361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A112F"/>
    <w:multiLevelType w:val="hybridMultilevel"/>
    <w:tmpl w:val="F5A68570"/>
    <w:lvl w:ilvl="0" w:tplc="B2168E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80390F"/>
    <w:multiLevelType w:val="hybridMultilevel"/>
    <w:tmpl w:val="4B127B94"/>
    <w:lvl w:ilvl="0" w:tplc="9A147ED8">
      <w:start w:val="1"/>
      <w:numFmt w:val="decimalEnclosedCircle"/>
      <w:lvlText w:val="%1"/>
      <w:lvlJc w:val="left"/>
      <w:pPr>
        <w:ind w:left="446" w:hanging="360"/>
      </w:pPr>
      <w:rPr>
        <w:rFonts w:hint="default"/>
        <w:sz w:val="20"/>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2" w15:restartNumberingAfterBreak="0">
    <w:nsid w:val="5761624C"/>
    <w:multiLevelType w:val="hybridMultilevel"/>
    <w:tmpl w:val="4A003D8E"/>
    <w:lvl w:ilvl="0" w:tplc="10C6C77A">
      <w:start w:val="1"/>
      <w:numFmt w:val="decimalEnclosedCircle"/>
      <w:lvlText w:val="%1"/>
      <w:lvlJc w:val="left"/>
      <w:pPr>
        <w:ind w:left="403" w:hanging="360"/>
      </w:pPr>
      <w:rPr>
        <w:rFonts w:hint="default"/>
        <w:sz w:val="20"/>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3" w15:restartNumberingAfterBreak="0">
    <w:nsid w:val="77F0155A"/>
    <w:multiLevelType w:val="hybridMultilevel"/>
    <w:tmpl w:val="F40E8166"/>
    <w:lvl w:ilvl="0" w:tplc="91E233E2">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20105D"/>
    <w:multiLevelType w:val="hybridMultilevel"/>
    <w:tmpl w:val="A8B48504"/>
    <w:lvl w:ilvl="0" w:tplc="9A147ED8">
      <w:start w:val="1"/>
      <w:numFmt w:val="decimalEnclosedCircle"/>
      <w:lvlText w:val="%1"/>
      <w:lvlJc w:val="left"/>
      <w:pPr>
        <w:ind w:left="403" w:hanging="360"/>
      </w:pPr>
      <w:rPr>
        <w:rFonts w:hint="default"/>
        <w:sz w:val="20"/>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C0"/>
    <w:rsid w:val="0001022F"/>
    <w:rsid w:val="00041FD7"/>
    <w:rsid w:val="000732C0"/>
    <w:rsid w:val="00085999"/>
    <w:rsid w:val="00093E8D"/>
    <w:rsid w:val="000A3A5B"/>
    <w:rsid w:val="000C09F7"/>
    <w:rsid w:val="000E49DA"/>
    <w:rsid w:val="000E740E"/>
    <w:rsid w:val="0010785C"/>
    <w:rsid w:val="00117675"/>
    <w:rsid w:val="0012092E"/>
    <w:rsid w:val="00127EA9"/>
    <w:rsid w:val="00130979"/>
    <w:rsid w:val="001444F0"/>
    <w:rsid w:val="00154E6B"/>
    <w:rsid w:val="001641F9"/>
    <w:rsid w:val="001A13BF"/>
    <w:rsid w:val="001B0EA9"/>
    <w:rsid w:val="001D1358"/>
    <w:rsid w:val="001E59F6"/>
    <w:rsid w:val="001F4E11"/>
    <w:rsid w:val="001F7120"/>
    <w:rsid w:val="00215B56"/>
    <w:rsid w:val="00223E87"/>
    <w:rsid w:val="0022655D"/>
    <w:rsid w:val="0023181C"/>
    <w:rsid w:val="00255A62"/>
    <w:rsid w:val="002725C5"/>
    <w:rsid w:val="002824C6"/>
    <w:rsid w:val="00286C88"/>
    <w:rsid w:val="002B142A"/>
    <w:rsid w:val="002B2D18"/>
    <w:rsid w:val="002B3DC2"/>
    <w:rsid w:val="002E10C0"/>
    <w:rsid w:val="002F0D73"/>
    <w:rsid w:val="003148C1"/>
    <w:rsid w:val="003159A8"/>
    <w:rsid w:val="003212D3"/>
    <w:rsid w:val="00323E68"/>
    <w:rsid w:val="00343783"/>
    <w:rsid w:val="00350BE7"/>
    <w:rsid w:val="00361D88"/>
    <w:rsid w:val="0036292F"/>
    <w:rsid w:val="003734C5"/>
    <w:rsid w:val="00386053"/>
    <w:rsid w:val="003937DB"/>
    <w:rsid w:val="003B14EA"/>
    <w:rsid w:val="003E1A0F"/>
    <w:rsid w:val="003F5D23"/>
    <w:rsid w:val="00412CF6"/>
    <w:rsid w:val="00436321"/>
    <w:rsid w:val="004378DC"/>
    <w:rsid w:val="00455638"/>
    <w:rsid w:val="00474F1F"/>
    <w:rsid w:val="00477200"/>
    <w:rsid w:val="00484EDE"/>
    <w:rsid w:val="00490B08"/>
    <w:rsid w:val="00490C93"/>
    <w:rsid w:val="00494FBA"/>
    <w:rsid w:val="004C2590"/>
    <w:rsid w:val="004D5B5E"/>
    <w:rsid w:val="004F278E"/>
    <w:rsid w:val="004F474D"/>
    <w:rsid w:val="005075CB"/>
    <w:rsid w:val="0052490B"/>
    <w:rsid w:val="005368A6"/>
    <w:rsid w:val="00541CE9"/>
    <w:rsid w:val="0056249B"/>
    <w:rsid w:val="005920AC"/>
    <w:rsid w:val="005978A0"/>
    <w:rsid w:val="005978A2"/>
    <w:rsid w:val="005B4298"/>
    <w:rsid w:val="005C482A"/>
    <w:rsid w:val="005C5520"/>
    <w:rsid w:val="005E6377"/>
    <w:rsid w:val="006031FC"/>
    <w:rsid w:val="006308EF"/>
    <w:rsid w:val="00635ACA"/>
    <w:rsid w:val="00677514"/>
    <w:rsid w:val="00692727"/>
    <w:rsid w:val="006A0F5B"/>
    <w:rsid w:val="006B01B8"/>
    <w:rsid w:val="006F51ED"/>
    <w:rsid w:val="00732483"/>
    <w:rsid w:val="00734EC3"/>
    <w:rsid w:val="00753D1B"/>
    <w:rsid w:val="00756648"/>
    <w:rsid w:val="00764916"/>
    <w:rsid w:val="00764CA5"/>
    <w:rsid w:val="00766470"/>
    <w:rsid w:val="00766B8A"/>
    <w:rsid w:val="00766D9F"/>
    <w:rsid w:val="00767BBE"/>
    <w:rsid w:val="00786D46"/>
    <w:rsid w:val="007B59B5"/>
    <w:rsid w:val="007D1159"/>
    <w:rsid w:val="007D2A0E"/>
    <w:rsid w:val="007D4EAA"/>
    <w:rsid w:val="007E2E5A"/>
    <w:rsid w:val="007E493F"/>
    <w:rsid w:val="008019DE"/>
    <w:rsid w:val="00805ECA"/>
    <w:rsid w:val="0080649C"/>
    <w:rsid w:val="0082198F"/>
    <w:rsid w:val="00821E1C"/>
    <w:rsid w:val="00823A80"/>
    <w:rsid w:val="008316B8"/>
    <w:rsid w:val="00831C3B"/>
    <w:rsid w:val="008518AD"/>
    <w:rsid w:val="0088282D"/>
    <w:rsid w:val="00884D60"/>
    <w:rsid w:val="008A6AC3"/>
    <w:rsid w:val="008C1244"/>
    <w:rsid w:val="008E4C5B"/>
    <w:rsid w:val="00900563"/>
    <w:rsid w:val="00913805"/>
    <w:rsid w:val="00914B83"/>
    <w:rsid w:val="00920893"/>
    <w:rsid w:val="00962FED"/>
    <w:rsid w:val="00990005"/>
    <w:rsid w:val="00990C21"/>
    <w:rsid w:val="009A0C7D"/>
    <w:rsid w:val="009A1D5D"/>
    <w:rsid w:val="009A5F12"/>
    <w:rsid w:val="009B3623"/>
    <w:rsid w:val="009B4C34"/>
    <w:rsid w:val="009F2DDA"/>
    <w:rsid w:val="00A22588"/>
    <w:rsid w:val="00A46503"/>
    <w:rsid w:val="00A51CAE"/>
    <w:rsid w:val="00A629EC"/>
    <w:rsid w:val="00A65D2B"/>
    <w:rsid w:val="00A70339"/>
    <w:rsid w:val="00AB3D4A"/>
    <w:rsid w:val="00AD2148"/>
    <w:rsid w:val="00B02DE1"/>
    <w:rsid w:val="00B14C72"/>
    <w:rsid w:val="00B17680"/>
    <w:rsid w:val="00B318E7"/>
    <w:rsid w:val="00B447AB"/>
    <w:rsid w:val="00B44A2A"/>
    <w:rsid w:val="00B47142"/>
    <w:rsid w:val="00B53487"/>
    <w:rsid w:val="00B611BF"/>
    <w:rsid w:val="00B64EB6"/>
    <w:rsid w:val="00B7522C"/>
    <w:rsid w:val="00B75748"/>
    <w:rsid w:val="00B824CB"/>
    <w:rsid w:val="00B92E59"/>
    <w:rsid w:val="00BA0D85"/>
    <w:rsid w:val="00BE218A"/>
    <w:rsid w:val="00C12CAD"/>
    <w:rsid w:val="00C261D1"/>
    <w:rsid w:val="00C314E4"/>
    <w:rsid w:val="00C43153"/>
    <w:rsid w:val="00C60397"/>
    <w:rsid w:val="00C74962"/>
    <w:rsid w:val="00C801C5"/>
    <w:rsid w:val="00C95586"/>
    <w:rsid w:val="00CB2E83"/>
    <w:rsid w:val="00CC4739"/>
    <w:rsid w:val="00CC6347"/>
    <w:rsid w:val="00CE0D8E"/>
    <w:rsid w:val="00CF3C87"/>
    <w:rsid w:val="00CF5CBD"/>
    <w:rsid w:val="00D06B8A"/>
    <w:rsid w:val="00D12111"/>
    <w:rsid w:val="00D13E58"/>
    <w:rsid w:val="00D21EFE"/>
    <w:rsid w:val="00D87C24"/>
    <w:rsid w:val="00DA53E8"/>
    <w:rsid w:val="00DA5A6E"/>
    <w:rsid w:val="00DB123B"/>
    <w:rsid w:val="00DB5EB9"/>
    <w:rsid w:val="00DC1165"/>
    <w:rsid w:val="00DD1058"/>
    <w:rsid w:val="00DD234F"/>
    <w:rsid w:val="00DD3E12"/>
    <w:rsid w:val="00DD415D"/>
    <w:rsid w:val="00DD437C"/>
    <w:rsid w:val="00DD5584"/>
    <w:rsid w:val="00DE469B"/>
    <w:rsid w:val="00E05785"/>
    <w:rsid w:val="00E30D37"/>
    <w:rsid w:val="00E370A5"/>
    <w:rsid w:val="00E404F4"/>
    <w:rsid w:val="00E41B9F"/>
    <w:rsid w:val="00E42C7F"/>
    <w:rsid w:val="00E64289"/>
    <w:rsid w:val="00E67440"/>
    <w:rsid w:val="00E756D9"/>
    <w:rsid w:val="00E778A8"/>
    <w:rsid w:val="00E902B0"/>
    <w:rsid w:val="00E918AD"/>
    <w:rsid w:val="00EA721E"/>
    <w:rsid w:val="00EB2053"/>
    <w:rsid w:val="00EB65CC"/>
    <w:rsid w:val="00EC59F5"/>
    <w:rsid w:val="00EE17E5"/>
    <w:rsid w:val="00EF3C5F"/>
    <w:rsid w:val="00EF45A9"/>
    <w:rsid w:val="00EF535F"/>
    <w:rsid w:val="00F01CFF"/>
    <w:rsid w:val="00F069AB"/>
    <w:rsid w:val="00F130E5"/>
    <w:rsid w:val="00F137A2"/>
    <w:rsid w:val="00F17C5A"/>
    <w:rsid w:val="00F648E9"/>
    <w:rsid w:val="00F906BA"/>
    <w:rsid w:val="00FA484A"/>
    <w:rsid w:val="00FB6796"/>
    <w:rsid w:val="00FD7DA3"/>
    <w:rsid w:val="00FE10EA"/>
    <w:rsid w:val="00FF05FE"/>
    <w:rsid w:val="00FF09F5"/>
    <w:rsid w:val="00FF3D67"/>
    <w:rsid w:val="00FF4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7E204579-5983-4D48-87C2-C9C5CD77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EB9"/>
    <w:pPr>
      <w:widowControl w:val="0"/>
      <w:jc w:val="both"/>
    </w:pPr>
    <w:rPr>
      <w:kern w:val="2"/>
      <w:sz w:val="21"/>
      <w:szCs w:val="24"/>
    </w:rPr>
  </w:style>
  <w:style w:type="paragraph" w:styleId="4">
    <w:name w:val="heading 4"/>
    <w:basedOn w:val="a"/>
    <w:qFormat/>
    <w:rsid w:val="00DB5EB9"/>
    <w:pPr>
      <w:widowControl/>
      <w:spacing w:before="100" w:beforeAutospacing="1" w:after="100" w:afterAutospacing="1"/>
      <w:jc w:val="left"/>
      <w:outlineLvl w:val="3"/>
    </w:pPr>
    <w:rPr>
      <w:rFonts w:ascii="ＭＳ 明朝" w:hAnsi="ＭＳ 明朝"/>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5EB9"/>
    <w:pPr>
      <w:tabs>
        <w:tab w:val="center" w:pos="4252"/>
        <w:tab w:val="right" w:pos="8504"/>
      </w:tabs>
      <w:snapToGrid w:val="0"/>
    </w:pPr>
  </w:style>
  <w:style w:type="paragraph" w:styleId="a4">
    <w:name w:val="footer"/>
    <w:basedOn w:val="a"/>
    <w:rsid w:val="00DB5EB9"/>
    <w:pPr>
      <w:tabs>
        <w:tab w:val="center" w:pos="4252"/>
        <w:tab w:val="right" w:pos="8504"/>
      </w:tabs>
      <w:snapToGrid w:val="0"/>
    </w:pPr>
  </w:style>
  <w:style w:type="paragraph" w:styleId="a5">
    <w:name w:val="Body Text"/>
    <w:basedOn w:val="a"/>
    <w:rsid w:val="00DB5EB9"/>
    <w:pPr>
      <w:spacing w:line="360" w:lineRule="exact"/>
    </w:pPr>
    <w:rPr>
      <w:sz w:val="22"/>
    </w:rPr>
  </w:style>
  <w:style w:type="paragraph" w:styleId="2">
    <w:name w:val="Body Text 2"/>
    <w:basedOn w:val="a"/>
    <w:rsid w:val="00DB5EB9"/>
    <w:pPr>
      <w:ind w:rightChars="218" w:right="458"/>
    </w:pPr>
    <w:rPr>
      <w:rFonts w:ascii="ＭＳ 明朝" w:hAnsi="ＭＳ 明朝"/>
    </w:rPr>
  </w:style>
  <w:style w:type="paragraph" w:styleId="a6">
    <w:name w:val="Body Text Indent"/>
    <w:basedOn w:val="a"/>
    <w:rsid w:val="00DB5EB9"/>
    <w:pPr>
      <w:snapToGrid w:val="0"/>
      <w:ind w:left="250" w:hangingChars="119" w:hanging="250"/>
    </w:pPr>
    <w:rPr>
      <w:rFonts w:ascii="ＭＳ Ｐ明朝" w:eastAsia="ＭＳ Ｐ明朝" w:hAnsi="ＭＳ Ｐ明朝"/>
    </w:rPr>
  </w:style>
  <w:style w:type="paragraph" w:styleId="20">
    <w:name w:val="Body Text Indent 2"/>
    <w:basedOn w:val="a"/>
    <w:rsid w:val="00DB5EB9"/>
    <w:pPr>
      <w:snapToGrid w:val="0"/>
      <w:ind w:leftChars="52" w:left="319" w:hangingChars="100" w:hanging="210"/>
    </w:pPr>
    <w:rPr>
      <w:rFonts w:ascii="ＭＳ Ｐ明朝" w:eastAsia="ＭＳ Ｐ明朝" w:hAnsi="ＭＳ Ｐ明朝"/>
    </w:rPr>
  </w:style>
  <w:style w:type="paragraph" w:styleId="a7">
    <w:name w:val="Balloon Text"/>
    <w:basedOn w:val="a"/>
    <w:link w:val="a8"/>
    <w:rsid w:val="002824C6"/>
    <w:rPr>
      <w:rFonts w:asciiTheme="majorHAnsi" w:eastAsiaTheme="majorEastAsia" w:hAnsiTheme="majorHAnsi" w:cstheme="majorBidi"/>
      <w:sz w:val="18"/>
      <w:szCs w:val="18"/>
    </w:rPr>
  </w:style>
  <w:style w:type="character" w:customStyle="1" w:styleId="a8">
    <w:name w:val="吹き出し (文字)"/>
    <w:basedOn w:val="a0"/>
    <w:link w:val="a7"/>
    <w:rsid w:val="002824C6"/>
    <w:rPr>
      <w:rFonts w:asciiTheme="majorHAnsi" w:eastAsiaTheme="majorEastAsia" w:hAnsiTheme="majorHAnsi" w:cstheme="majorBidi"/>
      <w:kern w:val="2"/>
      <w:sz w:val="18"/>
      <w:szCs w:val="18"/>
    </w:rPr>
  </w:style>
  <w:style w:type="paragraph" w:styleId="Web">
    <w:name w:val="Normal (Web)"/>
    <w:basedOn w:val="a"/>
    <w:uiPriority w:val="99"/>
    <w:unhideWhenUsed/>
    <w:rsid w:val="0076647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4D5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rsid w:val="00920893"/>
    <w:rPr>
      <w:sz w:val="18"/>
      <w:szCs w:val="18"/>
    </w:rPr>
  </w:style>
  <w:style w:type="paragraph" w:styleId="ab">
    <w:name w:val="annotation text"/>
    <w:basedOn w:val="a"/>
    <w:link w:val="ac"/>
    <w:uiPriority w:val="99"/>
    <w:rsid w:val="00920893"/>
    <w:pPr>
      <w:spacing w:line="300" w:lineRule="exact"/>
      <w:jc w:val="left"/>
      <w:textAlignment w:val="center"/>
    </w:pPr>
    <w:rPr>
      <w:rFonts w:ascii="Times New Roman" w:hAnsi="Times New Roman"/>
      <w:color w:val="000000"/>
      <w:szCs w:val="21"/>
    </w:rPr>
  </w:style>
  <w:style w:type="character" w:customStyle="1" w:styleId="ac">
    <w:name w:val="コメント文字列 (文字)"/>
    <w:basedOn w:val="a0"/>
    <w:link w:val="ab"/>
    <w:uiPriority w:val="99"/>
    <w:rsid w:val="00920893"/>
    <w:rPr>
      <w:rFonts w:ascii="Times New Roman" w:hAnsi="Times New Roman"/>
      <w:color w:val="000000"/>
      <w:kern w:val="2"/>
      <w:sz w:val="21"/>
      <w:szCs w:val="21"/>
    </w:rPr>
  </w:style>
  <w:style w:type="paragraph" w:customStyle="1" w:styleId="IF10pt">
    <w:name w:val="IF_表本文_10pt"/>
    <w:basedOn w:val="a"/>
    <w:rsid w:val="00920893"/>
    <w:pPr>
      <w:topLinePunct/>
      <w:spacing w:line="260" w:lineRule="exact"/>
      <w:jc w:val="center"/>
      <w:textAlignment w:val="center"/>
    </w:pPr>
    <w:rPr>
      <w:rFonts w:ascii="Times New Roman" w:hAnsi="Times New Roman"/>
      <w:color w:val="000000"/>
      <w:kern w:val="0"/>
      <w:sz w:val="20"/>
      <w:szCs w:val="20"/>
    </w:rPr>
  </w:style>
  <w:style w:type="paragraph" w:styleId="ad">
    <w:name w:val="caption"/>
    <w:basedOn w:val="a"/>
    <w:next w:val="a"/>
    <w:unhideWhenUsed/>
    <w:qFormat/>
    <w:rsid w:val="002725C5"/>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8909AD0C.dotm</Template>
  <TotalTime>305</TotalTime>
  <Pages>2</Pages>
  <Words>1027</Words>
  <Characters>284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製品比較表</vt:lpstr>
      <vt:lpstr>製品比較表</vt:lpstr>
    </vt:vector>
  </TitlesOfParts>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dc:title>
  <dc:creator>（株）テイカ製薬</dc:creator>
  <cp:lastModifiedBy>布施 敏志</cp:lastModifiedBy>
  <cp:revision>26</cp:revision>
  <cp:lastPrinted>2020-09-04T05:56:00Z</cp:lastPrinted>
  <dcterms:created xsi:type="dcterms:W3CDTF">2019-09-11T00:22:00Z</dcterms:created>
  <dcterms:modified xsi:type="dcterms:W3CDTF">2023-03-27T08:40:00Z</dcterms:modified>
</cp:coreProperties>
</file>